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CellMar>
          <w:left w:w="70" w:type="dxa"/>
          <w:right w:w="70" w:type="dxa"/>
        </w:tblCellMar>
        <w:tblLook w:val="00A0"/>
      </w:tblPr>
      <w:tblGrid>
        <w:gridCol w:w="8883"/>
        <w:gridCol w:w="1275"/>
      </w:tblGrid>
      <w:tr w:rsidR="008C6181" w:rsidRPr="00AB543F" w:rsidTr="00CB23E2">
        <w:trPr>
          <w:trHeight w:val="80"/>
          <w:jc w:val="center"/>
        </w:trPr>
        <w:tc>
          <w:tcPr>
            <w:tcW w:w="9889" w:type="dxa"/>
            <w:gridSpan w:val="2"/>
            <w:vAlign w:val="center"/>
          </w:tcPr>
          <w:p w:rsidR="008C6181" w:rsidRPr="00AB543F" w:rsidRDefault="008C6181" w:rsidP="00CB23E2">
            <w:pPr>
              <w:jc w:val="center"/>
              <w:rPr>
                <w:rFonts w:ascii="Times New Roman" w:hAnsi="Times New Roman"/>
                <w:b/>
                <w:sz w:val="24"/>
                <w:szCs w:val="24"/>
                <w:u w:val="single"/>
              </w:rPr>
            </w:pPr>
          </w:p>
          <w:p w:rsidR="008C6181" w:rsidRPr="00AB543F" w:rsidRDefault="008C6181" w:rsidP="00CB23E2">
            <w:pPr>
              <w:jc w:val="center"/>
              <w:rPr>
                <w:rFonts w:ascii="Times New Roman" w:hAnsi="Times New Roman"/>
                <w:b/>
                <w:sz w:val="24"/>
                <w:szCs w:val="24"/>
                <w:u w:val="single"/>
              </w:rPr>
            </w:pPr>
            <w:r w:rsidRPr="00AB543F">
              <w:rPr>
                <w:rFonts w:ascii="Times New Roman" w:hAnsi="Times New Roman"/>
                <w:b/>
                <w:sz w:val="24"/>
                <w:szCs w:val="24"/>
                <w:u w:val="single"/>
              </w:rPr>
              <w:t>COORDINACIÓN DE DESARROLLO ECONÓMICO Y COMBATE A LA DESIGUALDAD</w:t>
            </w:r>
          </w:p>
          <w:p w:rsidR="008C6181" w:rsidRPr="00AB543F" w:rsidRDefault="008C6181" w:rsidP="00CB23E2">
            <w:pPr>
              <w:jc w:val="center"/>
              <w:rPr>
                <w:rFonts w:ascii="Times New Roman" w:hAnsi="Times New Roman"/>
                <w:b/>
                <w:sz w:val="24"/>
                <w:szCs w:val="24"/>
                <w:u w:val="single"/>
              </w:rPr>
            </w:pPr>
            <w:r w:rsidRPr="00AB543F">
              <w:rPr>
                <w:rFonts w:ascii="Times New Roman" w:hAnsi="Times New Roman"/>
                <w:b/>
                <w:sz w:val="24"/>
                <w:szCs w:val="24"/>
                <w:u w:val="single"/>
              </w:rPr>
              <w:t>DIRECCIÓN DE PROGRAMAS SOCIALES MUNICIPALES</w:t>
            </w:r>
          </w:p>
          <w:p w:rsidR="008C6181" w:rsidRPr="00AB543F" w:rsidRDefault="008C6181" w:rsidP="00CB23E2">
            <w:pPr>
              <w:jc w:val="center"/>
              <w:rPr>
                <w:rFonts w:ascii="Times New Roman" w:hAnsi="Times New Roman"/>
                <w:b/>
                <w:sz w:val="24"/>
                <w:szCs w:val="24"/>
                <w:u w:val="single"/>
              </w:rPr>
            </w:pPr>
            <w:r w:rsidRPr="00AB543F">
              <w:rPr>
                <w:rFonts w:ascii="Times New Roman" w:hAnsi="Times New Roman"/>
                <w:b/>
                <w:sz w:val="24"/>
                <w:szCs w:val="24"/>
                <w:u w:val="single"/>
              </w:rPr>
              <w:t>GOBIERNO MUNICIPAL DE ZAPOPAN</w:t>
            </w:r>
          </w:p>
          <w:p w:rsidR="008C6181" w:rsidRPr="00AB543F" w:rsidRDefault="008C6181" w:rsidP="00CB23E2">
            <w:pPr>
              <w:jc w:val="center"/>
              <w:rPr>
                <w:rFonts w:ascii="Times New Roman" w:hAnsi="Times New Roman"/>
                <w:b/>
                <w:sz w:val="24"/>
                <w:szCs w:val="24"/>
                <w:u w:val="single"/>
              </w:rPr>
            </w:pPr>
            <w:r w:rsidRPr="00AB543F">
              <w:rPr>
                <w:rFonts w:ascii="Times New Roman" w:hAnsi="Times New Roman"/>
                <w:b/>
                <w:sz w:val="24"/>
                <w:szCs w:val="24"/>
                <w:u w:val="single"/>
              </w:rPr>
              <w:t>REGLAS DE OPERACIÓN</w:t>
            </w:r>
          </w:p>
          <w:p w:rsidR="008C6181" w:rsidRPr="00AB543F" w:rsidRDefault="008C6181" w:rsidP="00CB23E2">
            <w:pPr>
              <w:ind w:left="604"/>
              <w:jc w:val="center"/>
              <w:rPr>
                <w:rFonts w:ascii="Times New Roman" w:hAnsi="Times New Roman"/>
                <w:b/>
                <w:sz w:val="24"/>
                <w:szCs w:val="24"/>
              </w:rPr>
            </w:pPr>
          </w:p>
          <w:p w:rsidR="008C6181" w:rsidRPr="00AB543F" w:rsidRDefault="008C6181" w:rsidP="00CB23E2">
            <w:pPr>
              <w:ind w:left="604"/>
              <w:jc w:val="center"/>
              <w:rPr>
                <w:rFonts w:ascii="Times New Roman" w:hAnsi="Times New Roman"/>
                <w:sz w:val="24"/>
                <w:szCs w:val="24"/>
                <w:u w:val="single"/>
              </w:rPr>
            </w:pPr>
            <w:r w:rsidRPr="00AB543F">
              <w:rPr>
                <w:rFonts w:ascii="Times New Roman" w:hAnsi="Times New Roman"/>
                <w:b/>
                <w:sz w:val="24"/>
                <w:szCs w:val="24"/>
              </w:rPr>
              <w:t xml:space="preserve">1. PROGRAMA: </w:t>
            </w:r>
            <w:r w:rsidRPr="00AB543F">
              <w:rPr>
                <w:rFonts w:ascii="Times New Roman" w:hAnsi="Times New Roman"/>
                <w:sz w:val="24"/>
                <w:szCs w:val="24"/>
                <w:u w:val="single"/>
              </w:rPr>
              <w:t>“ZAPOPAN MI COLONIA”</w:t>
            </w:r>
          </w:p>
          <w:p w:rsidR="008C6181" w:rsidRPr="00AB543F" w:rsidRDefault="008C6181" w:rsidP="00CB23E2">
            <w:pPr>
              <w:ind w:left="604"/>
              <w:jc w:val="center"/>
              <w:rPr>
                <w:rFonts w:ascii="Times New Roman" w:hAnsi="Times New Roman"/>
                <w:b/>
                <w:sz w:val="24"/>
                <w:szCs w:val="24"/>
              </w:rPr>
            </w:pPr>
            <w:r w:rsidRPr="00AB543F">
              <w:rPr>
                <w:rFonts w:ascii="Times New Roman" w:hAnsi="Times New Roman"/>
                <w:b/>
                <w:sz w:val="24"/>
                <w:szCs w:val="24"/>
              </w:rPr>
              <w:t>2. OBJETIVO GENERAL:</w:t>
            </w:r>
          </w:p>
          <w:p w:rsidR="008C6181" w:rsidRPr="00AB543F" w:rsidRDefault="008C6181" w:rsidP="00CB23E2">
            <w:pPr>
              <w:ind w:left="604"/>
              <w:jc w:val="center"/>
              <w:rPr>
                <w:rFonts w:ascii="Times New Roman" w:hAnsi="Times New Roman"/>
                <w:sz w:val="24"/>
                <w:szCs w:val="24"/>
              </w:rPr>
            </w:pPr>
            <w:r w:rsidRPr="00AB543F">
              <w:rPr>
                <w:rFonts w:ascii="Times New Roman" w:hAnsi="Times New Roman"/>
                <w:sz w:val="24"/>
                <w:szCs w:val="24"/>
              </w:rPr>
              <w:t>Apoyar a las comunidades del municipio con materiales para la rehabilitación, remozamiento y mejora de las colonias para la dignificación de su entorno físico, el incremento de su valor y el mejoramiento del nivel de vida del ciudadano.</w:t>
            </w:r>
          </w:p>
          <w:p w:rsidR="008C6181" w:rsidRPr="00AB543F" w:rsidRDefault="008C6181" w:rsidP="00CB23E2">
            <w:pPr>
              <w:ind w:left="604"/>
              <w:jc w:val="center"/>
              <w:rPr>
                <w:rFonts w:ascii="Times New Roman" w:hAnsi="Times New Roman"/>
                <w:b/>
                <w:sz w:val="24"/>
                <w:szCs w:val="24"/>
              </w:rPr>
            </w:pPr>
            <w:r w:rsidRPr="00AB543F">
              <w:rPr>
                <w:rFonts w:ascii="Times New Roman" w:hAnsi="Times New Roman"/>
                <w:b/>
                <w:sz w:val="24"/>
                <w:szCs w:val="24"/>
              </w:rPr>
              <w:t>3. OBJETIVOS PARTICULARES:</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Rehabilitar y rescatar espacios comunes de las colonias (áreas verdes, centros de recreo público, módulos vecinales, banquetas, fachadas, mobiliario urbano) en conjunto con los vecinos.</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Mejorar la imagen física de las colonias.</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Promover el mantenimiento de las fachadas de las casas de las colonias para conservar su buen estado, apoyándolos con los materiales necesarios.</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Fomentar la corresponsabilidad y participación activa de las comunidades en el mejoramiento de su entorno físico.</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Promover la autogestión, el trabajo común ordenado y la participación ciudadana a través del proceso de remozamiento de las colonias.</w:t>
            </w:r>
          </w:p>
          <w:p w:rsidR="008C6181" w:rsidRPr="00AB543F" w:rsidRDefault="008C6181" w:rsidP="008C6181">
            <w:pPr>
              <w:numPr>
                <w:ilvl w:val="0"/>
                <w:numId w:val="2"/>
              </w:numPr>
              <w:tabs>
                <w:tab w:val="clear" w:pos="720"/>
                <w:tab w:val="num" w:pos="644"/>
              </w:tabs>
              <w:spacing w:after="0" w:line="240" w:lineRule="auto"/>
              <w:ind w:left="604"/>
              <w:jc w:val="center"/>
              <w:rPr>
                <w:rFonts w:ascii="Times New Roman" w:hAnsi="Times New Roman"/>
                <w:sz w:val="24"/>
                <w:szCs w:val="24"/>
              </w:rPr>
            </w:pPr>
            <w:r w:rsidRPr="00AB543F">
              <w:rPr>
                <w:rFonts w:ascii="Times New Roman" w:hAnsi="Times New Roman"/>
                <w:sz w:val="24"/>
                <w:szCs w:val="24"/>
              </w:rPr>
              <w:t>Coadyuvar en el mantenimiento urbano del municipio.</w:t>
            </w:r>
          </w:p>
          <w:p w:rsidR="008C6181" w:rsidRPr="00AB543F" w:rsidRDefault="008C6181" w:rsidP="00CB23E2">
            <w:pPr>
              <w:spacing w:after="0" w:line="240" w:lineRule="auto"/>
              <w:ind w:left="604"/>
              <w:jc w:val="center"/>
              <w:rPr>
                <w:rFonts w:ascii="Times New Roman" w:hAnsi="Times New Roman"/>
                <w:sz w:val="24"/>
                <w:szCs w:val="24"/>
              </w:rPr>
            </w:pPr>
          </w:p>
          <w:p w:rsidR="008C6181" w:rsidRPr="00AB543F" w:rsidRDefault="008C6181" w:rsidP="00CB23E2">
            <w:pPr>
              <w:pStyle w:val="Prrafodelista"/>
              <w:jc w:val="center"/>
              <w:outlineLvl w:val="1"/>
              <w:rPr>
                <w:rFonts w:ascii="Times New Roman" w:hAnsi="Times New Roman"/>
                <w:b/>
                <w:sz w:val="24"/>
                <w:szCs w:val="24"/>
              </w:rPr>
            </w:pPr>
            <w:bookmarkStart w:id="0" w:name="_Toc253502462"/>
            <w:r w:rsidRPr="00AB543F">
              <w:rPr>
                <w:rFonts w:ascii="Times New Roman" w:hAnsi="Times New Roman"/>
                <w:b/>
                <w:sz w:val="24"/>
                <w:szCs w:val="24"/>
              </w:rPr>
              <w:t>4.COBERTURA</w:t>
            </w:r>
            <w:bookmarkEnd w:id="0"/>
          </w:p>
          <w:p w:rsidR="008C6181" w:rsidRDefault="008C6181" w:rsidP="00CB23E2">
            <w:pPr>
              <w:pStyle w:val="Textoindependiente"/>
              <w:ind w:left="604"/>
              <w:jc w:val="center"/>
              <w:rPr>
                <w:rFonts w:ascii="Times New Roman" w:hAnsi="Times New Roman" w:cs="Times New Roman"/>
              </w:rPr>
            </w:pPr>
            <w:r w:rsidRPr="00C3464D">
              <w:rPr>
                <w:rFonts w:ascii="Times New Roman" w:hAnsi="Times New Roman" w:cs="Times New Roman"/>
              </w:rPr>
              <w:t>El programa se dirige a las colonias urbanas y ru</w:t>
            </w:r>
            <w:bookmarkStart w:id="1" w:name="_Toc253502463"/>
            <w:r>
              <w:rPr>
                <w:rFonts w:ascii="Times New Roman" w:hAnsi="Times New Roman" w:cs="Times New Roman"/>
              </w:rPr>
              <w:t>rales del Municipio de Zapopan.</w:t>
            </w:r>
          </w:p>
          <w:p w:rsidR="008C6181" w:rsidRPr="00C3464D" w:rsidRDefault="008C6181" w:rsidP="00CB23E2">
            <w:pPr>
              <w:pStyle w:val="Textoindependiente"/>
              <w:ind w:left="604"/>
              <w:jc w:val="center"/>
              <w:rPr>
                <w:rFonts w:ascii="Times New Roman" w:hAnsi="Times New Roman" w:cs="Times New Roman"/>
              </w:rPr>
            </w:pPr>
          </w:p>
          <w:p w:rsidR="008C6181" w:rsidRPr="00AB543F" w:rsidRDefault="008C6181" w:rsidP="00CB23E2">
            <w:pPr>
              <w:ind w:left="604"/>
              <w:jc w:val="center"/>
              <w:outlineLvl w:val="1"/>
              <w:rPr>
                <w:rFonts w:ascii="Times New Roman" w:hAnsi="Times New Roman"/>
                <w:b/>
                <w:sz w:val="24"/>
                <w:szCs w:val="24"/>
              </w:rPr>
            </w:pPr>
            <w:r w:rsidRPr="00AB543F">
              <w:rPr>
                <w:rFonts w:ascii="Times New Roman" w:hAnsi="Times New Roman"/>
                <w:b/>
                <w:sz w:val="24"/>
                <w:szCs w:val="24"/>
              </w:rPr>
              <w:t>5. POBLACION OBJETIVO:</w:t>
            </w:r>
            <w:bookmarkEnd w:id="1"/>
          </w:p>
          <w:p w:rsidR="008C6181" w:rsidRPr="00AB543F" w:rsidRDefault="008C6181" w:rsidP="00CB23E2">
            <w:pPr>
              <w:ind w:left="604"/>
              <w:jc w:val="center"/>
              <w:rPr>
                <w:rFonts w:ascii="Times New Roman" w:hAnsi="Times New Roman"/>
                <w:sz w:val="24"/>
                <w:szCs w:val="24"/>
              </w:rPr>
            </w:pPr>
            <w:r w:rsidRPr="00AB543F">
              <w:rPr>
                <w:rFonts w:ascii="Times New Roman" w:hAnsi="Times New Roman"/>
                <w:sz w:val="24"/>
                <w:szCs w:val="24"/>
              </w:rPr>
              <w:t>Habitantes de colonias urbanas y rurales que, de forma organizada, decidan rehabilitar sus espacios comunes para el mejoramiento de su entorno y que cumplan con los requisitos vigentes del programa.</w:t>
            </w:r>
          </w:p>
          <w:p w:rsidR="008C6181" w:rsidRPr="00AB543F" w:rsidRDefault="008C6181" w:rsidP="00CB23E2">
            <w:pPr>
              <w:spacing w:line="360" w:lineRule="auto"/>
              <w:ind w:left="604"/>
              <w:jc w:val="center"/>
              <w:rPr>
                <w:rFonts w:ascii="Times New Roman" w:hAnsi="Times New Roman"/>
                <w:b/>
                <w:sz w:val="24"/>
                <w:szCs w:val="24"/>
              </w:rPr>
            </w:pPr>
            <w:r w:rsidRPr="00AB543F">
              <w:rPr>
                <w:rFonts w:ascii="Times New Roman" w:hAnsi="Times New Roman"/>
                <w:b/>
                <w:sz w:val="24"/>
                <w:szCs w:val="24"/>
              </w:rPr>
              <w:t>6. ÁREA RESPONSABLE DEL GOBIERNO</w:t>
            </w:r>
          </w:p>
          <w:p w:rsidR="008C6181" w:rsidRPr="006B034E" w:rsidRDefault="008C6181" w:rsidP="00CB23E2">
            <w:pPr>
              <w:spacing w:line="360" w:lineRule="auto"/>
              <w:ind w:left="604"/>
              <w:jc w:val="center"/>
              <w:rPr>
                <w:rFonts w:ascii="Times New Roman" w:hAnsi="Times New Roman"/>
                <w:sz w:val="24"/>
                <w:szCs w:val="24"/>
              </w:rPr>
            </w:pPr>
            <w:r w:rsidRPr="00AB543F">
              <w:rPr>
                <w:rFonts w:ascii="Times New Roman" w:hAnsi="Times New Roman"/>
                <w:sz w:val="24"/>
                <w:szCs w:val="24"/>
              </w:rPr>
              <w:t xml:space="preserve">La Coordinación de Desarrollo Económico y Combate a la Desigualdad a través de la Dirección </w:t>
            </w:r>
            <w:r w:rsidRPr="00AB543F">
              <w:rPr>
                <w:rFonts w:ascii="Times New Roman" w:hAnsi="Times New Roman"/>
                <w:sz w:val="24"/>
                <w:szCs w:val="24"/>
              </w:rPr>
              <w:lastRenderedPageBreak/>
              <w:t>de Programas Sociales Municipales y sus Jefaturas de Departamento, serán las responsables de administrar y coordinar las actividades relacionadas a la correcta implementación del programa.</w:t>
            </w:r>
          </w:p>
          <w:p w:rsidR="008C6181" w:rsidRPr="00AB543F" w:rsidRDefault="008C6181" w:rsidP="008C6181">
            <w:pPr>
              <w:pStyle w:val="Prrafodelista"/>
              <w:numPr>
                <w:ilvl w:val="0"/>
                <w:numId w:val="6"/>
              </w:numPr>
              <w:jc w:val="center"/>
              <w:outlineLvl w:val="1"/>
              <w:rPr>
                <w:rFonts w:ascii="Times New Roman" w:hAnsi="Times New Roman"/>
                <w:b/>
                <w:sz w:val="24"/>
                <w:szCs w:val="24"/>
              </w:rPr>
            </w:pPr>
            <w:bookmarkStart w:id="2" w:name="_Toc253502464"/>
            <w:r w:rsidRPr="00AB543F">
              <w:rPr>
                <w:rFonts w:ascii="Times New Roman" w:hAnsi="Times New Roman"/>
                <w:b/>
                <w:sz w:val="24"/>
                <w:szCs w:val="24"/>
              </w:rPr>
              <w:t>PADRON DE BENEFICIARIOS</w:t>
            </w:r>
            <w:bookmarkEnd w:id="2"/>
            <w:r w:rsidRPr="00AB543F">
              <w:rPr>
                <w:rFonts w:ascii="Times New Roman" w:hAnsi="Times New Roman"/>
                <w:b/>
                <w:sz w:val="24"/>
                <w:szCs w:val="24"/>
              </w:rPr>
              <w:t>:</w:t>
            </w:r>
          </w:p>
          <w:p w:rsidR="008C6181" w:rsidRPr="00AB543F" w:rsidRDefault="008C6181" w:rsidP="00CB23E2">
            <w:pPr>
              <w:ind w:left="604"/>
              <w:jc w:val="center"/>
              <w:rPr>
                <w:rFonts w:ascii="Times New Roman" w:hAnsi="Times New Roman"/>
                <w:sz w:val="24"/>
                <w:szCs w:val="24"/>
              </w:rPr>
            </w:pPr>
            <w:r w:rsidRPr="00AB543F">
              <w:rPr>
                <w:rFonts w:ascii="Times New Roman" w:hAnsi="Times New Roman"/>
                <w:sz w:val="24"/>
                <w:szCs w:val="24"/>
              </w:rPr>
              <w:t>La integración del Padrón de Beneficiarios del programa consta de las colonias inscritas y que cubren los requisitos de elegibilidad.</w:t>
            </w:r>
          </w:p>
          <w:p w:rsidR="008C6181" w:rsidRPr="00AB543F" w:rsidRDefault="008C6181" w:rsidP="00CB23E2">
            <w:pPr>
              <w:ind w:left="604"/>
              <w:jc w:val="center"/>
              <w:rPr>
                <w:rFonts w:ascii="Times New Roman" w:hAnsi="Times New Roman"/>
                <w:sz w:val="24"/>
                <w:szCs w:val="24"/>
              </w:rPr>
            </w:pPr>
            <w:r w:rsidRPr="00AB543F">
              <w:rPr>
                <w:rFonts w:ascii="Times New Roman" w:hAnsi="Times New Roman"/>
                <w:sz w:val="24"/>
                <w:szCs w:val="24"/>
              </w:rPr>
              <w:t>Se cuenta con dos padrones:</w:t>
            </w:r>
          </w:p>
          <w:p w:rsidR="008C6181" w:rsidRPr="00AB543F" w:rsidRDefault="008C6181" w:rsidP="008C6181">
            <w:pPr>
              <w:numPr>
                <w:ilvl w:val="0"/>
                <w:numId w:val="3"/>
              </w:numPr>
              <w:spacing w:after="0" w:line="240" w:lineRule="auto"/>
              <w:ind w:left="604"/>
              <w:jc w:val="center"/>
              <w:rPr>
                <w:rFonts w:ascii="Times New Roman" w:hAnsi="Times New Roman"/>
                <w:sz w:val="24"/>
                <w:szCs w:val="24"/>
              </w:rPr>
            </w:pPr>
            <w:r w:rsidRPr="00AB543F">
              <w:rPr>
                <w:rFonts w:ascii="Times New Roman" w:hAnsi="Times New Roman"/>
                <w:sz w:val="24"/>
                <w:szCs w:val="24"/>
              </w:rPr>
              <w:t>Un padrón de colonias solicitantes inscritas y determinadas como VIABLES del beneficio del programa debido al cumplimiento de los requisitos de elegibilidad.</w:t>
            </w:r>
          </w:p>
          <w:p w:rsidR="008C6181" w:rsidRPr="00AB543F" w:rsidRDefault="008C6181" w:rsidP="008C6181">
            <w:pPr>
              <w:numPr>
                <w:ilvl w:val="0"/>
                <w:numId w:val="3"/>
              </w:numPr>
              <w:spacing w:after="0" w:line="240" w:lineRule="auto"/>
              <w:ind w:left="604"/>
              <w:jc w:val="center"/>
              <w:rPr>
                <w:rFonts w:ascii="Times New Roman" w:hAnsi="Times New Roman"/>
                <w:sz w:val="24"/>
                <w:szCs w:val="24"/>
              </w:rPr>
            </w:pPr>
            <w:r w:rsidRPr="00AB543F">
              <w:rPr>
                <w:rFonts w:ascii="Times New Roman" w:hAnsi="Times New Roman"/>
                <w:sz w:val="24"/>
                <w:szCs w:val="24"/>
              </w:rPr>
              <w:t>Un padrón de solicitantes inscritos y determinados como NO VIABLES del beneficio del programa debido al incumplimiento de los requisitos de elegibilidad.</w:t>
            </w:r>
          </w:p>
          <w:p w:rsidR="008C6181" w:rsidRPr="00AB543F" w:rsidRDefault="008C6181" w:rsidP="00CB23E2">
            <w:pPr>
              <w:ind w:left="604"/>
              <w:jc w:val="center"/>
              <w:rPr>
                <w:rFonts w:ascii="Times New Roman" w:hAnsi="Times New Roman"/>
                <w:b/>
                <w:sz w:val="24"/>
                <w:szCs w:val="24"/>
              </w:rPr>
            </w:pPr>
          </w:p>
          <w:p w:rsidR="008C6181" w:rsidRPr="00AB543F" w:rsidRDefault="008C6181" w:rsidP="00CB23E2">
            <w:pPr>
              <w:ind w:left="604"/>
              <w:jc w:val="center"/>
              <w:outlineLvl w:val="1"/>
              <w:rPr>
                <w:rFonts w:ascii="Times New Roman" w:hAnsi="Times New Roman"/>
                <w:b/>
                <w:sz w:val="24"/>
                <w:szCs w:val="24"/>
              </w:rPr>
            </w:pPr>
            <w:bookmarkStart w:id="3" w:name="_Toc253502465"/>
            <w:r w:rsidRPr="00AB543F">
              <w:rPr>
                <w:rFonts w:ascii="Times New Roman" w:hAnsi="Times New Roman"/>
                <w:b/>
                <w:sz w:val="24"/>
                <w:szCs w:val="24"/>
              </w:rPr>
              <w:t>8. REQUISITOS PARA LA INSCRIPCION DEL PROGRAMA</w:t>
            </w:r>
            <w:bookmarkEnd w:id="3"/>
            <w:r w:rsidRPr="00AB543F">
              <w:rPr>
                <w:rFonts w:ascii="Times New Roman" w:hAnsi="Times New Roman"/>
                <w:b/>
                <w:sz w:val="24"/>
                <w:szCs w:val="24"/>
              </w:rPr>
              <w:t>:</w:t>
            </w:r>
          </w:p>
          <w:p w:rsidR="008C6181" w:rsidRPr="00AB543F" w:rsidRDefault="008C6181" w:rsidP="00CB23E2">
            <w:pPr>
              <w:ind w:left="604"/>
              <w:jc w:val="center"/>
              <w:rPr>
                <w:rFonts w:ascii="Times New Roman" w:hAnsi="Times New Roman"/>
                <w:sz w:val="24"/>
                <w:szCs w:val="24"/>
              </w:rPr>
            </w:pPr>
            <w:r w:rsidRPr="00AB543F">
              <w:rPr>
                <w:rFonts w:ascii="Times New Roman" w:hAnsi="Times New Roman"/>
                <w:sz w:val="24"/>
                <w:szCs w:val="24"/>
              </w:rPr>
              <w:t>Los solicitantes de los beneficios del programa deberán cumplir con los siguientes requisitos:</w:t>
            </w:r>
          </w:p>
          <w:p w:rsidR="008C6181" w:rsidRPr="00AB543F" w:rsidRDefault="008C6181" w:rsidP="008C6181">
            <w:pPr>
              <w:pStyle w:val="Prrafodelista"/>
              <w:numPr>
                <w:ilvl w:val="0"/>
                <w:numId w:val="7"/>
              </w:numPr>
              <w:spacing w:after="0" w:line="240" w:lineRule="auto"/>
              <w:ind w:left="604"/>
              <w:jc w:val="center"/>
              <w:rPr>
                <w:rFonts w:ascii="Times New Roman" w:hAnsi="Times New Roman"/>
                <w:sz w:val="24"/>
                <w:szCs w:val="24"/>
              </w:rPr>
            </w:pPr>
            <w:r w:rsidRPr="00AB543F">
              <w:rPr>
                <w:rFonts w:ascii="Times New Roman" w:hAnsi="Times New Roman"/>
                <w:sz w:val="24"/>
                <w:szCs w:val="24"/>
              </w:rPr>
              <w:t>Petición formal del ciudadano (colono) para que el programa se implemente en su colonia.</w:t>
            </w:r>
          </w:p>
          <w:p w:rsidR="008C6181" w:rsidRPr="00AB543F" w:rsidRDefault="008C6181" w:rsidP="008C6181">
            <w:pPr>
              <w:pStyle w:val="Prrafodelista"/>
              <w:numPr>
                <w:ilvl w:val="0"/>
                <w:numId w:val="7"/>
              </w:numPr>
              <w:spacing w:after="0" w:line="240" w:lineRule="auto"/>
              <w:ind w:left="604"/>
              <w:jc w:val="center"/>
              <w:rPr>
                <w:rFonts w:ascii="Times New Roman" w:hAnsi="Times New Roman"/>
                <w:sz w:val="24"/>
                <w:szCs w:val="24"/>
              </w:rPr>
            </w:pPr>
            <w:r w:rsidRPr="00AB543F">
              <w:rPr>
                <w:rFonts w:ascii="Times New Roman" w:hAnsi="Times New Roman"/>
                <w:sz w:val="24"/>
                <w:szCs w:val="24"/>
              </w:rPr>
              <w:t>Copia de identificación oficial (credencial para votar o equivalente). La foto y firma del o los solicitantes deben aparecer claramente.</w:t>
            </w:r>
          </w:p>
          <w:p w:rsidR="008C6181" w:rsidRPr="00AB543F" w:rsidRDefault="008C6181" w:rsidP="008C6181">
            <w:pPr>
              <w:pStyle w:val="Prrafodelista"/>
              <w:numPr>
                <w:ilvl w:val="0"/>
                <w:numId w:val="7"/>
              </w:numPr>
              <w:spacing w:after="0" w:line="240" w:lineRule="auto"/>
              <w:ind w:left="604"/>
              <w:jc w:val="center"/>
              <w:rPr>
                <w:rFonts w:ascii="Times New Roman" w:hAnsi="Times New Roman"/>
                <w:sz w:val="24"/>
                <w:szCs w:val="24"/>
              </w:rPr>
            </w:pPr>
            <w:r w:rsidRPr="00AB543F">
              <w:rPr>
                <w:rFonts w:ascii="Times New Roman" w:hAnsi="Times New Roman"/>
                <w:sz w:val="24"/>
                <w:szCs w:val="24"/>
              </w:rPr>
              <w:t>Copia de comprobante de domicilio (agua, luz, teléfono). Debe aparecer el domicilio completo reportado por los solicitantes.</w:t>
            </w:r>
          </w:p>
          <w:p w:rsidR="008C6181" w:rsidRPr="00AB543F" w:rsidRDefault="008C6181" w:rsidP="008C6181">
            <w:pPr>
              <w:pStyle w:val="Prrafodelista"/>
              <w:numPr>
                <w:ilvl w:val="0"/>
                <w:numId w:val="7"/>
              </w:numPr>
              <w:spacing w:after="0" w:line="240" w:lineRule="auto"/>
              <w:ind w:left="604"/>
              <w:jc w:val="center"/>
              <w:rPr>
                <w:rFonts w:ascii="Times New Roman" w:hAnsi="Times New Roman"/>
                <w:sz w:val="24"/>
                <w:szCs w:val="24"/>
              </w:rPr>
            </w:pPr>
            <w:r w:rsidRPr="00AB543F">
              <w:rPr>
                <w:rFonts w:ascii="Times New Roman" w:hAnsi="Times New Roman"/>
                <w:sz w:val="24"/>
                <w:szCs w:val="24"/>
              </w:rPr>
              <w:t>Proporcionar información para el llenado del formato de validación de acuerdo a las reglas del programa.</w:t>
            </w:r>
          </w:p>
          <w:p w:rsidR="008C6181" w:rsidRPr="00AB543F" w:rsidRDefault="008C6181" w:rsidP="00CB23E2">
            <w:pPr>
              <w:pStyle w:val="Prrafodelista"/>
              <w:spacing w:after="0" w:line="240" w:lineRule="auto"/>
              <w:ind w:left="604"/>
              <w:jc w:val="center"/>
              <w:rPr>
                <w:rFonts w:ascii="Times New Roman" w:hAnsi="Times New Roman"/>
                <w:sz w:val="24"/>
                <w:szCs w:val="24"/>
              </w:rPr>
            </w:pPr>
          </w:p>
          <w:p w:rsidR="008C6181" w:rsidRPr="00AB543F" w:rsidRDefault="008C6181" w:rsidP="00CB23E2">
            <w:pPr>
              <w:ind w:left="604"/>
              <w:jc w:val="center"/>
              <w:outlineLvl w:val="1"/>
              <w:rPr>
                <w:rFonts w:ascii="Times New Roman" w:hAnsi="Times New Roman"/>
                <w:b/>
                <w:sz w:val="24"/>
                <w:szCs w:val="24"/>
              </w:rPr>
            </w:pPr>
            <w:bookmarkStart w:id="4" w:name="_Toc253502466"/>
            <w:r w:rsidRPr="00AB543F">
              <w:rPr>
                <w:rFonts w:ascii="Times New Roman" w:hAnsi="Times New Roman"/>
                <w:b/>
                <w:sz w:val="24"/>
                <w:szCs w:val="24"/>
              </w:rPr>
              <w:t>9. CRITERIOS PARA LA SELECCIÓN DE BENEFICIARIOS</w:t>
            </w:r>
            <w:bookmarkEnd w:id="4"/>
            <w:r w:rsidRPr="00AB543F">
              <w:rPr>
                <w:rFonts w:ascii="Times New Roman" w:hAnsi="Times New Roman"/>
                <w:b/>
                <w:sz w:val="24"/>
                <w:szCs w:val="24"/>
              </w:rPr>
              <w:t>:</w:t>
            </w:r>
          </w:p>
          <w:p w:rsidR="008C6181" w:rsidRPr="00C3464D" w:rsidRDefault="008C6181" w:rsidP="00CB23E2">
            <w:pPr>
              <w:pStyle w:val="Textoindependiente"/>
              <w:ind w:left="604"/>
              <w:jc w:val="center"/>
              <w:rPr>
                <w:rFonts w:ascii="Times New Roman" w:hAnsi="Times New Roman" w:cs="Times New Roman"/>
              </w:rPr>
            </w:pPr>
            <w:r w:rsidRPr="00C3464D">
              <w:rPr>
                <w:rFonts w:ascii="Times New Roman" w:hAnsi="Times New Roman" w:cs="Times New Roman"/>
              </w:rPr>
              <w:t>Los criterios para la selección de los beneficiarios que cumplen con los requisitos documentales se explican en la tabla 1. Todas las evidencias de la evaluación del cumplimiento de dichos criterios se documentan al llenar el “Diagnóstico General de la Colonia”.</w:t>
            </w:r>
          </w:p>
          <w:p w:rsidR="008C6181" w:rsidRPr="00AB543F" w:rsidRDefault="008C6181" w:rsidP="00CB23E2">
            <w:pPr>
              <w:jc w:val="center"/>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5292"/>
            </w:tblGrid>
            <w:tr w:rsidR="008C6181" w:rsidRPr="00AB543F" w:rsidTr="00CB23E2">
              <w:trPr>
                <w:cantSplit/>
              </w:trPr>
              <w:tc>
                <w:tcPr>
                  <w:tcW w:w="9900" w:type="dxa"/>
                  <w:gridSpan w:val="3"/>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Tabla 1: Criterios para la selección de colonias</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ORDEN DE PRIORIDAD</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FACTOR</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DESCRIPCIÓN</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1</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Geográfico</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Habitar en las comunidades urbanas y rurales del municipio de Zapopan. Las colonias en las zonas que hayan sido identificadas y localizadas en los polígonos y zonas de alta marginación son consideradas como prioritarias</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lastRenderedPageBreak/>
                    <w:t>2</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Grado de participación ciudadana</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Confirmar la organización de la comunidad solicitante y su grado de compromiso para aportar la mano de obra para la aplicación del material</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3</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Población beneficiada</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Determinar el número de ciudadanos que se verán beneficiados por los apoyos otorgados</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4</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Antecedente de apoyo</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Determinar si no ha recibido un apoyo anteriormente. En caso de ya haber recibido un apoyo, evaluar hace cuánto tiempo se recibió</w:t>
                  </w:r>
                </w:p>
              </w:tc>
            </w:tr>
            <w:tr w:rsidR="008C6181" w:rsidRPr="00AB543F" w:rsidTr="00CB23E2">
              <w:tc>
                <w:tcPr>
                  <w:tcW w:w="2088"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5</w:t>
                  </w:r>
                </w:p>
              </w:tc>
              <w:tc>
                <w:tcPr>
                  <w:tcW w:w="2520"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Dimensional</w:t>
                  </w:r>
                </w:p>
              </w:tc>
              <w:tc>
                <w:tcPr>
                  <w:tcW w:w="5292" w:type="dxa"/>
                </w:tcPr>
                <w:p w:rsidR="008C6181" w:rsidRPr="00AB543F" w:rsidRDefault="008C6181" w:rsidP="00CB23E2">
                  <w:pPr>
                    <w:jc w:val="center"/>
                    <w:rPr>
                      <w:rFonts w:ascii="Times New Roman" w:hAnsi="Times New Roman"/>
                      <w:sz w:val="24"/>
                      <w:szCs w:val="24"/>
                    </w:rPr>
                  </w:pPr>
                  <w:r w:rsidRPr="00AB543F">
                    <w:rPr>
                      <w:rFonts w:ascii="Times New Roman" w:hAnsi="Times New Roman"/>
                      <w:sz w:val="24"/>
                      <w:szCs w:val="24"/>
                    </w:rPr>
                    <w:t>Establecer el área que se beneficiaría con el apoyo</w:t>
                  </w:r>
                </w:p>
              </w:tc>
            </w:tr>
          </w:tbl>
          <w:p w:rsidR="008C6181" w:rsidRPr="00AB543F" w:rsidRDefault="008C6181" w:rsidP="00CB23E2">
            <w:pPr>
              <w:jc w:val="center"/>
              <w:rPr>
                <w:rFonts w:ascii="Times New Roman" w:hAnsi="Times New Roman"/>
                <w:b/>
                <w:sz w:val="24"/>
                <w:szCs w:val="24"/>
              </w:rPr>
            </w:pPr>
          </w:p>
          <w:p w:rsidR="008C6181" w:rsidRPr="00AB543F" w:rsidRDefault="008C6181" w:rsidP="00CB23E2">
            <w:pPr>
              <w:ind w:left="462"/>
              <w:jc w:val="center"/>
              <w:outlineLvl w:val="1"/>
              <w:rPr>
                <w:rFonts w:ascii="Times New Roman" w:hAnsi="Times New Roman"/>
                <w:b/>
                <w:sz w:val="24"/>
                <w:szCs w:val="24"/>
              </w:rPr>
            </w:pPr>
            <w:bookmarkStart w:id="5" w:name="_Toc253502468"/>
            <w:r w:rsidRPr="00AB543F">
              <w:rPr>
                <w:rFonts w:ascii="Times New Roman" w:hAnsi="Times New Roman"/>
                <w:b/>
                <w:sz w:val="24"/>
                <w:szCs w:val="24"/>
              </w:rPr>
              <w:t>10. TIPOS DE APOYOS</w:t>
            </w:r>
            <w:bookmarkEnd w:id="5"/>
            <w:r w:rsidRPr="00AB543F">
              <w:rPr>
                <w:rFonts w:ascii="Times New Roman" w:hAnsi="Times New Roman"/>
                <w:b/>
                <w:sz w:val="24"/>
                <w:szCs w:val="24"/>
              </w:rPr>
              <w:t>:</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El programa consta de diferentes apoyos de material para la mejora del entorno físico de las colonias y poblados del Municipio de Zapopan. Los apoyos responden a las necesidades identificadas y solicitadas por el grupo de colonos que son viables de acuerdo al cumplimiento de los criterios establecidos y al estudio de viabilidad y técnico.</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Cabe destacar que para fomentar la corresponsabilidad de y entre los colonos beneficiados, el municipio aporta apoyos de materiales, siendo los colonos organizados y beneficiarios quienes se encargan y comprometen a aportar la mano de obra para la ejecución y aplicación del material dentro del plazo establecido y de acuerdo al plan de trabajo acordado entre la Unidad Responsable y el Comité de Enlace formado por los colonos solicitantes. Asimismo, el Comité de Enlace de la colonia beneficiada acepta ésta condición para recibir el beneficio del programa.</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Se otorgan los siguientes apoyos de materiales para la rehabilitación/remozamiento de las colonias aprobadas:</w:t>
            </w:r>
          </w:p>
          <w:p w:rsidR="008C6181" w:rsidRPr="00AB543F" w:rsidRDefault="008C6181" w:rsidP="008C6181">
            <w:pPr>
              <w:numPr>
                <w:ilvl w:val="0"/>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 xml:space="preserve">Apoyos para área externa de espacios comunes </w:t>
            </w:r>
            <w:proofErr w:type="gramStart"/>
            <w:r w:rsidRPr="00AB543F">
              <w:rPr>
                <w:rFonts w:ascii="Times New Roman" w:hAnsi="Times New Roman"/>
                <w:sz w:val="24"/>
                <w:szCs w:val="24"/>
              </w:rPr>
              <w:t>( módulos</w:t>
            </w:r>
            <w:proofErr w:type="gramEnd"/>
            <w:r w:rsidRPr="00AB543F">
              <w:rPr>
                <w:rFonts w:ascii="Times New Roman" w:hAnsi="Times New Roman"/>
                <w:sz w:val="24"/>
                <w:szCs w:val="24"/>
              </w:rPr>
              <w:t xml:space="preserve"> vecinales).</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 xml:space="preserve">Pintura </w:t>
            </w:r>
            <w:proofErr w:type="spellStart"/>
            <w:r w:rsidRPr="00AB543F">
              <w:rPr>
                <w:rFonts w:ascii="Times New Roman" w:hAnsi="Times New Roman"/>
                <w:sz w:val="24"/>
                <w:szCs w:val="24"/>
              </w:rPr>
              <w:t>vinílica</w:t>
            </w:r>
            <w:proofErr w:type="spellEnd"/>
            <w:r w:rsidRPr="00AB543F">
              <w:rPr>
                <w:rFonts w:ascii="Times New Roman" w:hAnsi="Times New Roman"/>
                <w:sz w:val="24"/>
                <w:szCs w:val="24"/>
              </w:rPr>
              <w:t xml:space="preserve"> para fachadas.</w:t>
            </w:r>
          </w:p>
          <w:p w:rsidR="008C6181" w:rsidRPr="00AB543F" w:rsidRDefault="008C6181" w:rsidP="008C6181">
            <w:pPr>
              <w:numPr>
                <w:ilvl w:val="0"/>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 xml:space="preserve">Apoyos para mobiliario público </w:t>
            </w:r>
            <w:proofErr w:type="gramStart"/>
            <w:r w:rsidRPr="00AB543F">
              <w:rPr>
                <w:rFonts w:ascii="Times New Roman" w:hAnsi="Times New Roman"/>
                <w:sz w:val="24"/>
                <w:szCs w:val="24"/>
              </w:rPr>
              <w:t>( herrería</w:t>
            </w:r>
            <w:proofErr w:type="gramEnd"/>
            <w:r w:rsidRPr="00AB543F">
              <w:rPr>
                <w:rFonts w:ascii="Times New Roman" w:hAnsi="Times New Roman"/>
                <w:sz w:val="24"/>
                <w:szCs w:val="24"/>
              </w:rPr>
              <w:t xml:space="preserve"> para jardinería, banquetas y machuelos).</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Material para restauración de banquetas y machuelos.</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Pintura esmalte para herrería.</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Pintura tráfico para machuelo y balizamiento de topes.</w:t>
            </w:r>
          </w:p>
          <w:p w:rsidR="008C6181" w:rsidRPr="00AB543F" w:rsidRDefault="008C6181" w:rsidP="008C6181">
            <w:pPr>
              <w:numPr>
                <w:ilvl w:val="0"/>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Apoyos para áreas verdes.</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Herrería para jardinería.</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Materiales para jardines (mangueras,  pasto para rehabilitar,) siempre y cuando tengan agua.</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Juegos y bancas para áreas comunes.</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Letreros (No tirar basura, cuida las áreas verdes, etc.)</w:t>
            </w:r>
          </w:p>
          <w:p w:rsidR="008C6181" w:rsidRPr="00AB543F" w:rsidRDefault="008C6181" w:rsidP="008C6181">
            <w:pPr>
              <w:numPr>
                <w:ilvl w:val="1"/>
                <w:numId w:val="4"/>
              </w:numPr>
              <w:spacing w:after="0" w:line="240" w:lineRule="auto"/>
              <w:ind w:left="462"/>
              <w:jc w:val="center"/>
              <w:rPr>
                <w:rFonts w:ascii="Times New Roman" w:hAnsi="Times New Roman"/>
                <w:sz w:val="24"/>
                <w:szCs w:val="24"/>
              </w:rPr>
            </w:pPr>
            <w:r w:rsidRPr="00AB543F">
              <w:rPr>
                <w:rFonts w:ascii="Times New Roman" w:hAnsi="Times New Roman"/>
                <w:sz w:val="24"/>
                <w:szCs w:val="24"/>
              </w:rPr>
              <w:t>Adoquín y machuelo para andadores y restauración de áreas.</w:t>
            </w:r>
          </w:p>
          <w:p w:rsidR="008C6181" w:rsidRPr="00AB543F" w:rsidRDefault="008C6181" w:rsidP="00CB23E2">
            <w:pPr>
              <w:spacing w:after="0" w:line="240" w:lineRule="auto"/>
              <w:ind w:left="462"/>
              <w:jc w:val="center"/>
              <w:rPr>
                <w:rFonts w:ascii="Times New Roman" w:hAnsi="Times New Roman"/>
                <w:sz w:val="24"/>
                <w:szCs w:val="24"/>
              </w:rPr>
            </w:pPr>
          </w:p>
          <w:p w:rsidR="008C6181" w:rsidRDefault="008C6181" w:rsidP="00CB23E2">
            <w:pPr>
              <w:ind w:left="462"/>
              <w:jc w:val="center"/>
              <w:rPr>
                <w:rFonts w:ascii="Times New Roman" w:hAnsi="Times New Roman"/>
                <w:sz w:val="24"/>
                <w:szCs w:val="24"/>
              </w:rPr>
            </w:pPr>
            <w:r w:rsidRPr="00AB543F">
              <w:rPr>
                <w:rFonts w:ascii="Times New Roman" w:hAnsi="Times New Roman"/>
                <w:sz w:val="24"/>
                <w:szCs w:val="24"/>
              </w:rPr>
              <w:lastRenderedPageBreak/>
              <w:t>Los apoyos por colonia se otorgan para ser aplicados por los colonos y de acuerdo al plan de trabajo concertado y aceptado entre el Comité de Enlace de la colonia beneficiada y la Unidad de Comunidad Digna.</w:t>
            </w:r>
          </w:p>
          <w:p w:rsidR="008C6181" w:rsidRPr="00AB543F" w:rsidRDefault="008C6181" w:rsidP="00CB23E2">
            <w:pPr>
              <w:ind w:left="462"/>
              <w:jc w:val="center"/>
              <w:rPr>
                <w:rFonts w:ascii="Times New Roman" w:hAnsi="Times New Roman"/>
                <w:sz w:val="24"/>
                <w:szCs w:val="24"/>
              </w:rPr>
            </w:pP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t>11. CUANTIFICACION DE LOS MATERIALES:</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Los apoyos se entregan en paquetes de materiales cuyas cantidades se determinan de acuerdo a fichas técnicas base y el plan de trabajo acordado entre el Comité de Enlace y la Unidad del Programa, sin poder exceder el monto máximo de apoyo establecido.</w:t>
            </w: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t>12. ENTREGA DE MATERIAL</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La entrega del material de apoyo para la colonia se hará de acuerdo a la calendarización de entregas coordinada por la Unidad de Moviendo a tu comunidad con los proveedores designados por Adquisiciones del Municipio de Zapopan.</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La coordinación del programa está obligada a emitir los vales de materiales correspondientes a cada apoyo y entregar dichos vales al Comité de Enlace. Los vales deben asegurar el origen, destino y uso de los materiales.</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El Comité de Enlace está obligado a supervisar la correcta aplicación de los materiales entregados, de acuerdo al plan de trabajo establecido entre el mismo Comité y la Unidad del Programa.</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El Comité de Enlace está obligado a entregar en el plazo establecido, la documentación de respaldo requerida para comprobar la correcta distribución de los materiales a los responsables de su aplicación, de acuerdo al plan de trabajo establecido entre el Comité de Enlace y la Jefatura del Programa.</w:t>
            </w:r>
          </w:p>
          <w:p w:rsidR="008C6181" w:rsidRPr="00AB543F" w:rsidRDefault="008C6181" w:rsidP="00CB23E2">
            <w:pPr>
              <w:ind w:left="462"/>
              <w:jc w:val="center"/>
              <w:outlineLvl w:val="1"/>
              <w:rPr>
                <w:rFonts w:ascii="Times New Roman" w:hAnsi="Times New Roman"/>
                <w:b/>
                <w:sz w:val="24"/>
                <w:szCs w:val="24"/>
              </w:rPr>
            </w:pPr>
            <w:r w:rsidRPr="00AB543F">
              <w:rPr>
                <w:rFonts w:ascii="Times New Roman" w:hAnsi="Times New Roman"/>
                <w:b/>
                <w:sz w:val="24"/>
                <w:szCs w:val="24"/>
              </w:rPr>
              <w:t>13. CAUSAS DE CANCELACION DEL APOYO:</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Incurrir en actividades contrarias a los objetivos o lineamientos del programa serán causas para la cancelación del apoyo. Algunas de las causas que originan la cancelación del apoyo a una colonia beneficiaria son:</w:t>
            </w:r>
          </w:p>
          <w:p w:rsidR="008C6181" w:rsidRPr="00AB543F" w:rsidRDefault="008C6181" w:rsidP="008C6181">
            <w:pPr>
              <w:numPr>
                <w:ilvl w:val="0"/>
                <w:numId w:val="5"/>
              </w:numPr>
              <w:spacing w:after="0" w:line="240" w:lineRule="auto"/>
              <w:ind w:left="462"/>
              <w:jc w:val="center"/>
              <w:rPr>
                <w:rFonts w:ascii="Times New Roman" w:hAnsi="Times New Roman"/>
                <w:sz w:val="24"/>
                <w:szCs w:val="24"/>
              </w:rPr>
            </w:pPr>
            <w:r w:rsidRPr="00AB543F">
              <w:rPr>
                <w:rFonts w:ascii="Times New Roman" w:hAnsi="Times New Roman"/>
                <w:sz w:val="24"/>
                <w:szCs w:val="24"/>
              </w:rPr>
              <w:t>Incumplir el plan de trabajo acordado, ya sea en su forma y/o tiempo.</w:t>
            </w:r>
          </w:p>
          <w:p w:rsidR="008C6181" w:rsidRPr="00AB543F" w:rsidRDefault="008C6181" w:rsidP="008C6181">
            <w:pPr>
              <w:numPr>
                <w:ilvl w:val="0"/>
                <w:numId w:val="5"/>
              </w:numPr>
              <w:spacing w:after="0" w:line="240" w:lineRule="auto"/>
              <w:ind w:left="462"/>
              <w:jc w:val="center"/>
              <w:rPr>
                <w:rFonts w:ascii="Times New Roman" w:hAnsi="Times New Roman"/>
                <w:sz w:val="24"/>
                <w:szCs w:val="24"/>
              </w:rPr>
            </w:pPr>
            <w:r w:rsidRPr="00AB543F">
              <w:rPr>
                <w:rFonts w:ascii="Times New Roman" w:hAnsi="Times New Roman"/>
                <w:sz w:val="24"/>
                <w:szCs w:val="24"/>
              </w:rPr>
              <w:t>Disolución del acuerdo entre colonos para el cumplimiento del plan de trabajo.</w:t>
            </w:r>
          </w:p>
          <w:p w:rsidR="008C6181" w:rsidRPr="00AB543F" w:rsidRDefault="008C6181" w:rsidP="008C6181">
            <w:pPr>
              <w:numPr>
                <w:ilvl w:val="0"/>
                <w:numId w:val="5"/>
              </w:numPr>
              <w:spacing w:after="0" w:line="240" w:lineRule="auto"/>
              <w:ind w:left="462"/>
              <w:jc w:val="center"/>
              <w:rPr>
                <w:rFonts w:ascii="Times New Roman" w:hAnsi="Times New Roman"/>
                <w:sz w:val="24"/>
                <w:szCs w:val="24"/>
              </w:rPr>
            </w:pPr>
            <w:r w:rsidRPr="00AB543F">
              <w:rPr>
                <w:rFonts w:ascii="Times New Roman" w:hAnsi="Times New Roman"/>
                <w:sz w:val="24"/>
                <w:szCs w:val="24"/>
              </w:rPr>
              <w:t>Proporcionar información falsa en la valoración de factibilidad y técnica.</w:t>
            </w:r>
          </w:p>
          <w:p w:rsidR="008C6181" w:rsidRPr="00AB543F" w:rsidRDefault="008C6181" w:rsidP="008C6181">
            <w:pPr>
              <w:numPr>
                <w:ilvl w:val="0"/>
                <w:numId w:val="5"/>
              </w:numPr>
              <w:spacing w:after="0" w:line="240" w:lineRule="auto"/>
              <w:ind w:left="462"/>
              <w:jc w:val="center"/>
              <w:rPr>
                <w:rFonts w:ascii="Times New Roman" w:hAnsi="Times New Roman"/>
                <w:sz w:val="24"/>
                <w:szCs w:val="24"/>
              </w:rPr>
            </w:pPr>
            <w:r w:rsidRPr="00AB543F">
              <w:rPr>
                <w:rFonts w:ascii="Times New Roman" w:hAnsi="Times New Roman"/>
                <w:sz w:val="24"/>
                <w:szCs w:val="24"/>
              </w:rPr>
              <w:t>Transferir o vender el material otorgado a cualquier persona para un beneficio particular.</w:t>
            </w:r>
          </w:p>
          <w:p w:rsidR="008C6181" w:rsidRPr="00AB543F" w:rsidRDefault="008C6181" w:rsidP="008C6181">
            <w:pPr>
              <w:numPr>
                <w:ilvl w:val="0"/>
                <w:numId w:val="5"/>
              </w:numPr>
              <w:spacing w:after="0" w:line="240" w:lineRule="auto"/>
              <w:ind w:left="462"/>
              <w:jc w:val="center"/>
              <w:rPr>
                <w:rFonts w:ascii="Times New Roman" w:hAnsi="Times New Roman"/>
                <w:sz w:val="24"/>
                <w:szCs w:val="24"/>
              </w:rPr>
            </w:pPr>
            <w:r w:rsidRPr="00AB543F">
              <w:rPr>
                <w:rFonts w:ascii="Times New Roman" w:hAnsi="Times New Roman"/>
                <w:sz w:val="24"/>
                <w:szCs w:val="24"/>
              </w:rPr>
              <w:t>Aplicar el material de apoyo en áreas no acordadas en el plan de trabajo o no autorizadas.</w:t>
            </w:r>
          </w:p>
          <w:p w:rsidR="008C6181" w:rsidRPr="00AB543F" w:rsidRDefault="008C6181" w:rsidP="00CB23E2">
            <w:pPr>
              <w:spacing w:after="0" w:line="240" w:lineRule="auto"/>
              <w:ind w:left="462"/>
              <w:jc w:val="center"/>
              <w:rPr>
                <w:rFonts w:ascii="Times New Roman" w:hAnsi="Times New Roman"/>
                <w:sz w:val="24"/>
                <w:szCs w:val="24"/>
              </w:rPr>
            </w:pP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Incurrir en cualquiera de las causas de cancelación anteriores y otras fijadas por las leyes aplicables, implicará que el o la solicitante sean puestos en el padrón de ciudadanos NO VIABLES, quedando al margen de otros apoyos otorgados por la Unidad de Comunidad Digna.</w:t>
            </w: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lastRenderedPageBreak/>
              <w:t>14. DERECHOS, OBLIGACIONES,SANCIONES:</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Derechos:</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Recibir información sobre el programa y sus reglas de operación.</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Recibir un trato amable y respetuoso por parte de los servidores públicos.</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Confidencialidad y reserva de su información personal.</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Recibir el apoyo en material de acuerdo a las reglas de operación, la valoración de factibilidad  técnica y el plan de trabajo acordado.</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Presentar denuncias, quejas y sugerencias respecto a las reglas de operación del programa ante las autoridades correspondientes.</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Recibir información sobre el estatus de su solicitud.</w:t>
            </w:r>
          </w:p>
          <w:p w:rsidR="008C6181" w:rsidRPr="00AB543F" w:rsidRDefault="008C6181" w:rsidP="008C6181">
            <w:pPr>
              <w:pStyle w:val="Prrafodelista"/>
              <w:numPr>
                <w:ilvl w:val="1"/>
                <w:numId w:val="8"/>
              </w:numPr>
              <w:spacing w:after="0" w:line="240" w:lineRule="auto"/>
              <w:ind w:left="462"/>
              <w:jc w:val="center"/>
              <w:rPr>
                <w:rFonts w:ascii="Times New Roman" w:hAnsi="Times New Roman"/>
                <w:sz w:val="24"/>
                <w:szCs w:val="24"/>
              </w:rPr>
            </w:pPr>
            <w:r w:rsidRPr="00AB543F">
              <w:rPr>
                <w:rFonts w:ascii="Times New Roman" w:hAnsi="Times New Roman"/>
                <w:sz w:val="24"/>
                <w:szCs w:val="24"/>
              </w:rPr>
              <w:t>Recibir asesoría técnica y supervisión por parte del personal de la Dirección de Comunidad Digna para la correcta aplicación de los materiales de apoyo.</w:t>
            </w:r>
          </w:p>
          <w:p w:rsidR="008C6181" w:rsidRPr="00AB543F" w:rsidRDefault="008C6181" w:rsidP="00CB23E2">
            <w:pPr>
              <w:pStyle w:val="Prrafodelista"/>
              <w:spacing w:after="0" w:line="240" w:lineRule="auto"/>
              <w:ind w:left="462"/>
              <w:jc w:val="center"/>
              <w:rPr>
                <w:rFonts w:ascii="Times New Roman" w:hAnsi="Times New Roman"/>
                <w:sz w:val="24"/>
                <w:szCs w:val="24"/>
              </w:rPr>
            </w:pP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Obligaciones:</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Proporcionar, bajo protesta de decir  verdad, los datos personales, comunitarios y los requeridos en las valoraciones de factibilidad  técnica.</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Conocer las reglas de operación del programa y cumplir con la normatividad establecida.</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Organizarse entre los colonos interesados para la correcta aplicación de los materiales de apoyo.</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Presentar quejas y denuncias en tiempo y forma establecidos relativos al programa y su operación.</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Aplicar en la colonia autorizada y beneficiada los materiales otorgados. Los colonos solicitantes y autorizados deben aportar la mano de obra requerida para completar las obras en tiempo y forma de acuerdo al plan de trabajo establecido.</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El ciudadano deberá aportar los materiales adicionales necesarios para completar una obra cuando ésta rebase las cantidades de apoyo máximo otorgados por el programa.</w:t>
            </w:r>
          </w:p>
          <w:p w:rsidR="008C6181" w:rsidRPr="00AB543F" w:rsidRDefault="008C6181" w:rsidP="008C6181">
            <w:pPr>
              <w:pStyle w:val="Prrafodelista"/>
              <w:numPr>
                <w:ilvl w:val="1"/>
                <w:numId w:val="9"/>
              </w:numPr>
              <w:spacing w:after="0" w:line="240" w:lineRule="auto"/>
              <w:ind w:left="462"/>
              <w:jc w:val="center"/>
              <w:rPr>
                <w:rFonts w:ascii="Times New Roman" w:hAnsi="Times New Roman"/>
                <w:sz w:val="24"/>
                <w:szCs w:val="24"/>
              </w:rPr>
            </w:pPr>
            <w:r w:rsidRPr="00AB543F">
              <w:rPr>
                <w:rFonts w:ascii="Times New Roman" w:hAnsi="Times New Roman"/>
                <w:sz w:val="24"/>
                <w:szCs w:val="24"/>
              </w:rPr>
              <w:t>Proporcionar información de seguimiento sobre el apoyo otorgado para constatar la correcta     aplicación del mismo.</w:t>
            </w:r>
          </w:p>
          <w:p w:rsidR="008C6181" w:rsidRPr="00AB543F" w:rsidRDefault="008C6181" w:rsidP="00CB23E2">
            <w:pPr>
              <w:pStyle w:val="Prrafodelista"/>
              <w:spacing w:after="0" w:line="240" w:lineRule="auto"/>
              <w:ind w:left="462"/>
              <w:jc w:val="center"/>
              <w:rPr>
                <w:rFonts w:ascii="Times New Roman" w:hAnsi="Times New Roman"/>
                <w:sz w:val="24"/>
                <w:szCs w:val="24"/>
              </w:rPr>
            </w:pP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t>15. TRANSPARENCIA</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El manejo y la aplicación de los recursos  estarán publicados en línea de acuerdo a los lineamientos establecidos en la Ley de Transparencia y Acceso de la Información Pública del Estado.</w:t>
            </w: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t>16. AUDITORIA, CONTROL Y SEGUIMIENTO</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La auditoría, control y vigilancia del presente programa estará a cargo de: el Órgano interno de Control y aquellas dependencias facultadas para la revisión del ejercicio de los recursos aplicados en el Programa. Cada uno de ellos en el ámbito de su competencia.</w:t>
            </w:r>
          </w:p>
          <w:p w:rsidR="008C6181" w:rsidRPr="00AB543F" w:rsidRDefault="008C6181" w:rsidP="00CB23E2">
            <w:pPr>
              <w:ind w:left="462"/>
              <w:jc w:val="center"/>
              <w:rPr>
                <w:rFonts w:ascii="Times New Roman" w:hAnsi="Times New Roman"/>
                <w:b/>
                <w:sz w:val="24"/>
                <w:szCs w:val="24"/>
              </w:rPr>
            </w:pPr>
            <w:r w:rsidRPr="00AB543F">
              <w:rPr>
                <w:rFonts w:ascii="Times New Roman" w:hAnsi="Times New Roman"/>
                <w:b/>
                <w:sz w:val="24"/>
                <w:szCs w:val="24"/>
              </w:rPr>
              <w:t>17. QUEJAS Y DENUNCIAS</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Las quejas y denuncias o sugerencias al respecto al personal o a las actividades del Programa podrán ser remitidas o presentadas de la siguiente manera:</w:t>
            </w:r>
          </w:p>
          <w:p w:rsidR="008C6181" w:rsidRPr="00AB543F" w:rsidRDefault="008C6181" w:rsidP="00CB23E2">
            <w:pPr>
              <w:ind w:left="462"/>
              <w:jc w:val="center"/>
              <w:rPr>
                <w:rFonts w:ascii="Times New Roman" w:hAnsi="Times New Roman"/>
                <w:sz w:val="24"/>
                <w:szCs w:val="24"/>
                <w:u w:val="single"/>
              </w:rPr>
            </w:pPr>
            <w:r w:rsidRPr="00AB543F">
              <w:rPr>
                <w:rFonts w:ascii="Times New Roman" w:hAnsi="Times New Roman"/>
                <w:sz w:val="24"/>
                <w:szCs w:val="24"/>
                <w:u w:val="single"/>
              </w:rPr>
              <w:t>1. Vía telefónica:</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lastRenderedPageBreak/>
              <w:t>Unidad “MOVIENDO TU COMUNIDAD”</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Teléfono:</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38-18-22-00 extensión 3883 y 3887.</w:t>
            </w:r>
          </w:p>
          <w:p w:rsidR="008C6181" w:rsidRPr="00AB543F" w:rsidRDefault="008C6181" w:rsidP="00CB23E2">
            <w:pPr>
              <w:jc w:val="center"/>
              <w:rPr>
                <w:rFonts w:ascii="Times New Roman" w:hAnsi="Times New Roman"/>
                <w:sz w:val="24"/>
                <w:szCs w:val="24"/>
                <w:u w:val="single"/>
              </w:rPr>
            </w:pPr>
            <w:r w:rsidRPr="00AB543F">
              <w:rPr>
                <w:rFonts w:ascii="Times New Roman" w:hAnsi="Times New Roman"/>
                <w:sz w:val="24"/>
                <w:szCs w:val="24"/>
                <w:u w:val="single"/>
              </w:rPr>
              <w:t>2. De manera personal:</w:t>
            </w:r>
          </w:p>
          <w:p w:rsidR="008C6181" w:rsidRPr="00AB543F" w:rsidRDefault="008C6181" w:rsidP="00CB23E2">
            <w:pPr>
              <w:ind w:left="462"/>
              <w:jc w:val="center"/>
              <w:rPr>
                <w:rFonts w:ascii="Times New Roman" w:hAnsi="Times New Roman"/>
                <w:sz w:val="24"/>
                <w:szCs w:val="24"/>
                <w:u w:val="single"/>
              </w:rPr>
            </w:pPr>
            <w:r w:rsidRPr="00AB543F">
              <w:rPr>
                <w:rFonts w:ascii="Times New Roman" w:hAnsi="Times New Roman"/>
                <w:sz w:val="24"/>
                <w:szCs w:val="24"/>
              </w:rPr>
              <w:t>Domicilio:</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Av. Laureles #80 (A un costado del Mercado del Mar)</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Colonia el Vigía</w:t>
            </w:r>
          </w:p>
          <w:p w:rsidR="008C6181" w:rsidRPr="00AB543F" w:rsidRDefault="008C6181" w:rsidP="00CB23E2">
            <w:pPr>
              <w:ind w:left="462"/>
              <w:jc w:val="center"/>
              <w:rPr>
                <w:rFonts w:ascii="Times New Roman" w:hAnsi="Times New Roman"/>
                <w:sz w:val="24"/>
                <w:szCs w:val="24"/>
              </w:rPr>
            </w:pPr>
            <w:r w:rsidRPr="00AB543F">
              <w:rPr>
                <w:rFonts w:ascii="Times New Roman" w:hAnsi="Times New Roman"/>
                <w:sz w:val="24"/>
                <w:szCs w:val="24"/>
              </w:rPr>
              <w:t>Zapopan, Jalisco.</w:t>
            </w:r>
          </w:p>
          <w:p w:rsidR="008C6181" w:rsidRPr="00AB543F" w:rsidRDefault="008C6181" w:rsidP="00CB23E2">
            <w:pPr>
              <w:spacing w:line="360" w:lineRule="auto"/>
              <w:jc w:val="center"/>
              <w:rPr>
                <w:rFonts w:ascii="Times New Roman" w:hAnsi="Times New Roman"/>
                <w:b/>
                <w:sz w:val="24"/>
                <w:szCs w:val="24"/>
              </w:rPr>
            </w:pPr>
            <w:r w:rsidRPr="00AB543F">
              <w:rPr>
                <w:rFonts w:ascii="Times New Roman" w:hAnsi="Times New Roman"/>
                <w:b/>
                <w:sz w:val="24"/>
                <w:szCs w:val="24"/>
              </w:rPr>
              <w:t>18. SUPLETORIEDAD</w:t>
            </w:r>
          </w:p>
          <w:p w:rsidR="008C6181" w:rsidRPr="00AB543F" w:rsidRDefault="008C6181" w:rsidP="00CB23E2">
            <w:pPr>
              <w:spacing w:line="360" w:lineRule="auto"/>
              <w:jc w:val="center"/>
              <w:rPr>
                <w:rFonts w:ascii="Times New Roman" w:hAnsi="Times New Roman"/>
                <w:sz w:val="24"/>
                <w:szCs w:val="24"/>
              </w:rPr>
            </w:pPr>
            <w:r w:rsidRPr="00AB543F">
              <w:rPr>
                <w:rFonts w:ascii="Times New Roman" w:hAnsi="Times New Roman"/>
                <w:sz w:val="24"/>
                <w:szCs w:val="24"/>
              </w:rPr>
              <w:t>En todo lo no previsto por las presentes Reglas de Operación serán aplicables:</w:t>
            </w:r>
          </w:p>
          <w:p w:rsidR="008C6181" w:rsidRPr="00AB543F" w:rsidRDefault="008C6181" w:rsidP="008C6181">
            <w:pPr>
              <w:pStyle w:val="Prrafodelista"/>
              <w:numPr>
                <w:ilvl w:val="0"/>
                <w:numId w:val="1"/>
              </w:numPr>
              <w:spacing w:line="360" w:lineRule="auto"/>
              <w:jc w:val="center"/>
              <w:rPr>
                <w:rFonts w:ascii="Times New Roman" w:hAnsi="Times New Roman"/>
                <w:sz w:val="24"/>
                <w:szCs w:val="24"/>
              </w:rPr>
            </w:pPr>
            <w:r w:rsidRPr="00AB543F">
              <w:rPr>
                <w:rFonts w:ascii="Times New Roman" w:hAnsi="Times New Roman"/>
                <w:sz w:val="24"/>
                <w:szCs w:val="24"/>
              </w:rPr>
              <w:t>La Ley de Desarrollo Social para el Estado de Jalisco.</w:t>
            </w:r>
          </w:p>
          <w:p w:rsidR="008C6181" w:rsidRPr="00AB543F" w:rsidRDefault="008C6181" w:rsidP="008C6181">
            <w:pPr>
              <w:pStyle w:val="Prrafodelista"/>
              <w:numPr>
                <w:ilvl w:val="0"/>
                <w:numId w:val="1"/>
              </w:numPr>
              <w:spacing w:line="360" w:lineRule="auto"/>
              <w:jc w:val="center"/>
              <w:rPr>
                <w:rFonts w:ascii="Times New Roman" w:hAnsi="Times New Roman"/>
                <w:sz w:val="24"/>
                <w:szCs w:val="24"/>
              </w:rPr>
            </w:pPr>
            <w:r w:rsidRPr="00AB543F">
              <w:rPr>
                <w:rFonts w:ascii="Times New Roman" w:hAnsi="Times New Roman"/>
                <w:sz w:val="24"/>
                <w:szCs w:val="24"/>
              </w:rPr>
              <w:t>El Código de Asistencia Social del Estado de Jalisco.</w:t>
            </w:r>
          </w:p>
          <w:p w:rsidR="008C6181" w:rsidRPr="00AB543F" w:rsidRDefault="008C6181" w:rsidP="008C6181">
            <w:pPr>
              <w:pStyle w:val="Prrafodelista"/>
              <w:numPr>
                <w:ilvl w:val="0"/>
                <w:numId w:val="1"/>
              </w:numPr>
              <w:spacing w:line="360" w:lineRule="auto"/>
              <w:jc w:val="center"/>
              <w:rPr>
                <w:rFonts w:ascii="Times New Roman" w:hAnsi="Times New Roman"/>
                <w:sz w:val="24"/>
                <w:szCs w:val="24"/>
              </w:rPr>
            </w:pPr>
            <w:r w:rsidRPr="00AB543F">
              <w:rPr>
                <w:rFonts w:ascii="Times New Roman" w:hAnsi="Times New Roman"/>
                <w:sz w:val="24"/>
                <w:szCs w:val="24"/>
              </w:rPr>
              <w:t>La Ley del Procedimiento Administrativo del Estado de Jalisco.</w:t>
            </w:r>
          </w:p>
          <w:p w:rsidR="008C6181" w:rsidRPr="00AB543F" w:rsidRDefault="008C6181" w:rsidP="00CB23E2">
            <w:pPr>
              <w:jc w:val="center"/>
              <w:rPr>
                <w:rFonts w:ascii="Times New Roman" w:hAnsi="Times New Roman"/>
                <w:b/>
                <w:sz w:val="24"/>
                <w:szCs w:val="24"/>
              </w:rPr>
            </w:pPr>
          </w:p>
          <w:p w:rsidR="008C6181" w:rsidRPr="00AB543F" w:rsidRDefault="008C6181" w:rsidP="00CB23E2">
            <w:pPr>
              <w:spacing w:after="0" w:line="240" w:lineRule="auto"/>
              <w:jc w:val="center"/>
              <w:rPr>
                <w:rFonts w:ascii="Times New Roman" w:hAnsi="Times New Roman"/>
                <w:b/>
                <w:sz w:val="24"/>
                <w:szCs w:val="24"/>
                <w:lang w:eastAsia="es-MX"/>
              </w:rPr>
            </w:pPr>
          </w:p>
        </w:tc>
      </w:tr>
      <w:tr w:rsidR="008C6181" w:rsidRPr="00AB543F" w:rsidTr="00CB23E2">
        <w:trPr>
          <w:trHeight w:val="80"/>
          <w:jc w:val="center"/>
        </w:trPr>
        <w:tc>
          <w:tcPr>
            <w:tcW w:w="9889" w:type="dxa"/>
            <w:gridSpan w:val="2"/>
            <w:vAlign w:val="center"/>
          </w:tcPr>
          <w:p w:rsidR="008C6181" w:rsidRPr="00AB543F" w:rsidRDefault="008C6181" w:rsidP="00CB23E2">
            <w:pPr>
              <w:spacing w:after="0" w:line="240" w:lineRule="auto"/>
              <w:jc w:val="both"/>
              <w:rPr>
                <w:rFonts w:ascii="Verdana" w:hAnsi="Verdana" w:cs="Calibri"/>
                <w:sz w:val="24"/>
                <w:szCs w:val="24"/>
                <w:lang w:eastAsia="es-MX"/>
              </w:rPr>
            </w:pPr>
          </w:p>
        </w:tc>
      </w:tr>
      <w:tr w:rsidR="008C6181" w:rsidRPr="00AB543F" w:rsidTr="00CB23E2">
        <w:trPr>
          <w:trHeight w:val="80"/>
          <w:jc w:val="center"/>
        </w:trPr>
        <w:tc>
          <w:tcPr>
            <w:tcW w:w="9889" w:type="dxa"/>
            <w:gridSpan w:val="2"/>
            <w:vAlign w:val="center"/>
          </w:tcPr>
          <w:p w:rsidR="008C6181" w:rsidRPr="00AB543F" w:rsidRDefault="008C6181" w:rsidP="00CB23E2">
            <w:pPr>
              <w:spacing w:after="0" w:line="240" w:lineRule="auto"/>
              <w:jc w:val="both"/>
              <w:rPr>
                <w:rFonts w:ascii="Verdana" w:hAnsi="Verdana" w:cs="Calibri"/>
                <w:sz w:val="24"/>
                <w:szCs w:val="24"/>
                <w:lang w:eastAsia="es-MX"/>
              </w:rPr>
            </w:pPr>
          </w:p>
        </w:tc>
      </w:tr>
      <w:tr w:rsidR="008C6181" w:rsidRPr="00AB543F" w:rsidTr="00CB23E2">
        <w:trPr>
          <w:trHeight w:val="80"/>
          <w:jc w:val="center"/>
        </w:trPr>
        <w:tc>
          <w:tcPr>
            <w:tcW w:w="9889" w:type="dxa"/>
            <w:gridSpan w:val="2"/>
            <w:vAlign w:val="center"/>
          </w:tcPr>
          <w:p w:rsidR="008C6181" w:rsidRPr="00AB543F" w:rsidRDefault="008C6181" w:rsidP="00CB23E2">
            <w:pPr>
              <w:spacing w:after="0" w:line="240" w:lineRule="auto"/>
              <w:jc w:val="both"/>
              <w:rPr>
                <w:rFonts w:ascii="Verdana" w:hAnsi="Verdana" w:cs="Calibri"/>
                <w:sz w:val="24"/>
                <w:szCs w:val="24"/>
                <w:lang w:eastAsia="es-MX"/>
              </w:rPr>
            </w:pPr>
          </w:p>
        </w:tc>
      </w:tr>
      <w:tr w:rsidR="008C6181" w:rsidRPr="00AB543F" w:rsidTr="00CB23E2">
        <w:trPr>
          <w:trHeight w:val="80"/>
          <w:jc w:val="center"/>
        </w:trPr>
        <w:tc>
          <w:tcPr>
            <w:tcW w:w="9889" w:type="dxa"/>
            <w:gridSpan w:val="2"/>
            <w:vAlign w:val="center"/>
          </w:tcPr>
          <w:p w:rsidR="008C6181" w:rsidRPr="00AB543F" w:rsidRDefault="008C6181" w:rsidP="00CB23E2">
            <w:pPr>
              <w:spacing w:after="0" w:line="240" w:lineRule="auto"/>
              <w:jc w:val="both"/>
              <w:rPr>
                <w:rFonts w:ascii="Verdana" w:hAnsi="Verdana" w:cs="Calibri"/>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gridAfter w:val="1"/>
          <w:wAfter w:w="1255" w:type="dxa"/>
          <w:trHeight w:val="20"/>
          <w:jc w:val="center"/>
        </w:trPr>
        <w:tc>
          <w:tcPr>
            <w:tcW w:w="8634" w:type="dxa"/>
            <w:vAlign w:val="center"/>
          </w:tcPr>
          <w:p w:rsidR="008C6181" w:rsidRPr="00AB543F" w:rsidRDefault="008C6181" w:rsidP="00CB23E2">
            <w:pPr>
              <w:spacing w:after="0" w:line="240" w:lineRule="auto"/>
              <w:ind w:right="-2417"/>
              <w:rPr>
                <w:rFonts w:ascii="Verdana" w:hAnsi="Verdana" w:cs="Calibri"/>
                <w:color w:val="000000"/>
                <w:sz w:val="24"/>
                <w:szCs w:val="24"/>
                <w:lang w:eastAsia="es-MX"/>
              </w:rPr>
            </w:pPr>
          </w:p>
        </w:tc>
      </w:tr>
      <w:tr w:rsidR="008C6181" w:rsidRPr="00AB543F" w:rsidTr="00CB23E2">
        <w:trPr>
          <w:trHeight w:val="20"/>
          <w:jc w:val="center"/>
        </w:trPr>
        <w:tc>
          <w:tcPr>
            <w:tcW w:w="9889" w:type="dxa"/>
            <w:gridSpan w:val="2"/>
            <w:vAlign w:val="center"/>
          </w:tcPr>
          <w:p w:rsidR="008C6181" w:rsidRPr="00AB543F" w:rsidRDefault="008C6181" w:rsidP="00CB23E2">
            <w:pPr>
              <w:autoSpaceDE w:val="0"/>
              <w:autoSpaceDN w:val="0"/>
              <w:adjustRightInd w:val="0"/>
              <w:spacing w:after="0" w:line="240" w:lineRule="auto"/>
              <w:ind w:right="-2417"/>
              <w:rPr>
                <w:rFonts w:ascii="Times New Roman" w:hAnsi="Times New Roman"/>
                <w:color w:val="000000"/>
                <w:sz w:val="24"/>
                <w:szCs w:val="24"/>
                <w:lang w:eastAsia="es-MX"/>
              </w:rPr>
            </w:pPr>
          </w:p>
        </w:tc>
      </w:tr>
    </w:tbl>
    <w:p w:rsidR="00EF147D" w:rsidRDefault="008C6181"/>
    <w:sectPr w:rsidR="00EF147D" w:rsidSect="00167A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B24"/>
    <w:multiLevelType w:val="hybridMultilevel"/>
    <w:tmpl w:val="59383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0C1315"/>
    <w:multiLevelType w:val="hybridMultilevel"/>
    <w:tmpl w:val="A4909F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F8D14DE"/>
    <w:multiLevelType w:val="hybridMultilevel"/>
    <w:tmpl w:val="96EEC0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0E16D2"/>
    <w:multiLevelType w:val="hybridMultilevel"/>
    <w:tmpl w:val="3FC4D3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2200E0"/>
    <w:multiLevelType w:val="hybridMultilevel"/>
    <w:tmpl w:val="61187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93731AA"/>
    <w:multiLevelType w:val="hybridMultilevel"/>
    <w:tmpl w:val="E6E6A8B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6509C7"/>
    <w:multiLevelType w:val="hybridMultilevel"/>
    <w:tmpl w:val="B4083564"/>
    <w:lvl w:ilvl="0" w:tplc="CE0A15E8">
      <w:start w:val="1"/>
      <w:numFmt w:val="bullet"/>
      <w:lvlText w:val="•"/>
      <w:lvlJc w:val="left"/>
      <w:pPr>
        <w:tabs>
          <w:tab w:val="num" w:pos="720"/>
        </w:tabs>
        <w:ind w:left="720" w:hanging="360"/>
      </w:pPr>
      <w:rPr>
        <w:rFonts w:ascii="Times New Roman" w:hAnsi="Times New Roman" w:hint="default"/>
      </w:rPr>
    </w:lvl>
    <w:lvl w:ilvl="1" w:tplc="B150D9A2">
      <w:start w:val="1"/>
      <w:numFmt w:val="bullet"/>
      <w:lvlText w:val="•"/>
      <w:lvlJc w:val="left"/>
      <w:pPr>
        <w:tabs>
          <w:tab w:val="num" w:pos="1440"/>
        </w:tabs>
        <w:ind w:left="1440" w:hanging="360"/>
      </w:pPr>
      <w:rPr>
        <w:rFonts w:ascii="Times New Roman" w:hAnsi="Times New Roman" w:hint="default"/>
      </w:rPr>
    </w:lvl>
    <w:lvl w:ilvl="2" w:tplc="BA000EFA" w:tentative="1">
      <w:start w:val="1"/>
      <w:numFmt w:val="bullet"/>
      <w:lvlText w:val="•"/>
      <w:lvlJc w:val="left"/>
      <w:pPr>
        <w:tabs>
          <w:tab w:val="num" w:pos="2160"/>
        </w:tabs>
        <w:ind w:left="2160" w:hanging="360"/>
      </w:pPr>
      <w:rPr>
        <w:rFonts w:ascii="Times New Roman" w:hAnsi="Times New Roman" w:hint="default"/>
      </w:rPr>
    </w:lvl>
    <w:lvl w:ilvl="3" w:tplc="F0024236" w:tentative="1">
      <w:start w:val="1"/>
      <w:numFmt w:val="bullet"/>
      <w:lvlText w:val="•"/>
      <w:lvlJc w:val="left"/>
      <w:pPr>
        <w:tabs>
          <w:tab w:val="num" w:pos="2880"/>
        </w:tabs>
        <w:ind w:left="2880" w:hanging="360"/>
      </w:pPr>
      <w:rPr>
        <w:rFonts w:ascii="Times New Roman" w:hAnsi="Times New Roman" w:hint="default"/>
      </w:rPr>
    </w:lvl>
    <w:lvl w:ilvl="4" w:tplc="8494BBBE" w:tentative="1">
      <w:start w:val="1"/>
      <w:numFmt w:val="bullet"/>
      <w:lvlText w:val="•"/>
      <w:lvlJc w:val="left"/>
      <w:pPr>
        <w:tabs>
          <w:tab w:val="num" w:pos="3600"/>
        </w:tabs>
        <w:ind w:left="3600" w:hanging="360"/>
      </w:pPr>
      <w:rPr>
        <w:rFonts w:ascii="Times New Roman" w:hAnsi="Times New Roman" w:hint="default"/>
      </w:rPr>
    </w:lvl>
    <w:lvl w:ilvl="5" w:tplc="19D4630A" w:tentative="1">
      <w:start w:val="1"/>
      <w:numFmt w:val="bullet"/>
      <w:lvlText w:val="•"/>
      <w:lvlJc w:val="left"/>
      <w:pPr>
        <w:tabs>
          <w:tab w:val="num" w:pos="4320"/>
        </w:tabs>
        <w:ind w:left="4320" w:hanging="360"/>
      </w:pPr>
      <w:rPr>
        <w:rFonts w:ascii="Times New Roman" w:hAnsi="Times New Roman" w:hint="default"/>
      </w:rPr>
    </w:lvl>
    <w:lvl w:ilvl="6" w:tplc="ECFC2EB8" w:tentative="1">
      <w:start w:val="1"/>
      <w:numFmt w:val="bullet"/>
      <w:lvlText w:val="•"/>
      <w:lvlJc w:val="left"/>
      <w:pPr>
        <w:tabs>
          <w:tab w:val="num" w:pos="5040"/>
        </w:tabs>
        <w:ind w:left="5040" w:hanging="360"/>
      </w:pPr>
      <w:rPr>
        <w:rFonts w:ascii="Times New Roman" w:hAnsi="Times New Roman" w:hint="default"/>
      </w:rPr>
    </w:lvl>
    <w:lvl w:ilvl="7" w:tplc="A96E531A" w:tentative="1">
      <w:start w:val="1"/>
      <w:numFmt w:val="bullet"/>
      <w:lvlText w:val="•"/>
      <w:lvlJc w:val="left"/>
      <w:pPr>
        <w:tabs>
          <w:tab w:val="num" w:pos="5760"/>
        </w:tabs>
        <w:ind w:left="5760" w:hanging="360"/>
      </w:pPr>
      <w:rPr>
        <w:rFonts w:ascii="Times New Roman" w:hAnsi="Times New Roman" w:hint="default"/>
      </w:rPr>
    </w:lvl>
    <w:lvl w:ilvl="8" w:tplc="A64052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B0757C"/>
    <w:multiLevelType w:val="hybridMultilevel"/>
    <w:tmpl w:val="A7C00E62"/>
    <w:lvl w:ilvl="0" w:tplc="B46ACD2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D84976"/>
    <w:multiLevelType w:val="hybridMultilevel"/>
    <w:tmpl w:val="839A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0"/>
  </w:num>
  <w:num w:numId="6">
    <w:abstractNumId w:val="5"/>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181"/>
    <w:rsid w:val="00167A57"/>
    <w:rsid w:val="001716F7"/>
    <w:rsid w:val="008C6181"/>
    <w:rsid w:val="008F3F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8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181"/>
    <w:pPr>
      <w:ind w:left="720"/>
      <w:contextualSpacing/>
    </w:pPr>
  </w:style>
  <w:style w:type="paragraph" w:styleId="Textoindependiente">
    <w:name w:val="Body Text"/>
    <w:basedOn w:val="Normal"/>
    <w:link w:val="TextoindependienteCar"/>
    <w:semiHidden/>
    <w:rsid w:val="008C6181"/>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semiHidden/>
    <w:rsid w:val="008C6181"/>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9263</Characters>
  <Application>Microsoft Office Word</Application>
  <DocSecurity>0</DocSecurity>
  <Lines>77</Lines>
  <Paragraphs>21</Paragraphs>
  <ScaleCrop>false</ScaleCrop>
  <Company>Municipio de Zapopan Jalisco</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Eochoa</dc:creator>
  <cp:lastModifiedBy>Eochoa</cp:lastModifiedBy>
  <cp:revision>1</cp:revision>
  <dcterms:created xsi:type="dcterms:W3CDTF">2016-02-09T20:20:00Z</dcterms:created>
  <dcterms:modified xsi:type="dcterms:W3CDTF">2016-02-09T20:21:00Z</dcterms:modified>
</cp:coreProperties>
</file>