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93" w:rsidRDefault="00A04FDE" w:rsidP="00A04FDE">
      <w:pPr>
        <w:spacing w:line="360" w:lineRule="auto"/>
        <w:jc w:val="center"/>
        <w:rPr>
          <w:rFonts w:ascii="Arial" w:hAnsi="Arial" w:cs="Arial"/>
          <w:sz w:val="24"/>
          <w:szCs w:val="24"/>
        </w:rPr>
      </w:pPr>
      <w:r>
        <w:rPr>
          <w:rFonts w:ascii="Arial" w:hAnsi="Arial" w:cs="Arial"/>
          <w:b/>
          <w:sz w:val="24"/>
          <w:szCs w:val="24"/>
        </w:rPr>
        <w:t xml:space="preserve">Diagnóstico del municipio </w:t>
      </w:r>
      <w:r w:rsidR="001A7F81">
        <w:rPr>
          <w:rFonts w:ascii="Arial" w:hAnsi="Arial" w:cs="Arial"/>
          <w:b/>
          <w:sz w:val="24"/>
          <w:szCs w:val="24"/>
        </w:rPr>
        <w:t xml:space="preserve">para la elaboración </w:t>
      </w:r>
      <w:r>
        <w:rPr>
          <w:rFonts w:ascii="Arial" w:hAnsi="Arial" w:cs="Arial"/>
          <w:b/>
          <w:sz w:val="24"/>
          <w:szCs w:val="24"/>
        </w:rPr>
        <w:t xml:space="preserve">del proyecto de presupuesto </w:t>
      </w:r>
      <w:r w:rsidR="001A7F81">
        <w:rPr>
          <w:rFonts w:ascii="Arial" w:hAnsi="Arial" w:cs="Arial"/>
          <w:b/>
          <w:sz w:val="24"/>
          <w:szCs w:val="24"/>
        </w:rPr>
        <w:t xml:space="preserve">para el ejercicio fiscal </w:t>
      </w:r>
      <w:r>
        <w:rPr>
          <w:rFonts w:ascii="Arial" w:hAnsi="Arial" w:cs="Arial"/>
          <w:b/>
          <w:sz w:val="24"/>
          <w:szCs w:val="24"/>
        </w:rPr>
        <w:t>2016</w:t>
      </w:r>
    </w:p>
    <w:p w:rsidR="00900E79" w:rsidRDefault="0027240E" w:rsidP="008E4D50">
      <w:pPr>
        <w:pStyle w:val="Prrafodelista"/>
        <w:numPr>
          <w:ilvl w:val="0"/>
          <w:numId w:val="2"/>
        </w:numPr>
        <w:spacing w:line="360" w:lineRule="auto"/>
        <w:jc w:val="both"/>
        <w:rPr>
          <w:rFonts w:ascii="Arial" w:hAnsi="Arial" w:cs="Arial"/>
          <w:b/>
          <w:sz w:val="24"/>
          <w:szCs w:val="24"/>
        </w:rPr>
      </w:pPr>
      <w:r w:rsidRPr="0027240E">
        <w:rPr>
          <w:rFonts w:ascii="Arial" w:hAnsi="Arial" w:cs="Arial"/>
          <w:b/>
          <w:sz w:val="24"/>
          <w:szCs w:val="24"/>
        </w:rPr>
        <w:t>Población</w:t>
      </w:r>
    </w:p>
    <w:p w:rsidR="00BC4D4B" w:rsidRDefault="00BC4D4B" w:rsidP="008006A3">
      <w:pPr>
        <w:spacing w:after="0" w:line="360" w:lineRule="auto"/>
        <w:jc w:val="both"/>
        <w:rPr>
          <w:rFonts w:ascii="Arial" w:hAnsi="Arial" w:cs="Arial"/>
          <w:sz w:val="24"/>
          <w:szCs w:val="24"/>
        </w:rPr>
      </w:pPr>
      <w:r>
        <w:rPr>
          <w:rFonts w:ascii="Arial" w:hAnsi="Arial" w:cs="Arial"/>
          <w:sz w:val="24"/>
          <w:szCs w:val="24"/>
        </w:rPr>
        <w:t xml:space="preserve">De acuerdo al Censo de Población y Vivienda 2010 elaborado por el Instituto Nacional de Estadística y Geografía, el municipio de Zapopan </w:t>
      </w:r>
      <w:r w:rsidR="00E3777B">
        <w:rPr>
          <w:rFonts w:ascii="Arial" w:hAnsi="Arial" w:cs="Arial"/>
          <w:sz w:val="24"/>
          <w:szCs w:val="24"/>
        </w:rPr>
        <w:t xml:space="preserve">es el octavo municipio más poblado a nivel nacional, </w:t>
      </w:r>
      <w:r>
        <w:rPr>
          <w:rFonts w:ascii="Arial" w:hAnsi="Arial" w:cs="Arial"/>
          <w:sz w:val="24"/>
          <w:szCs w:val="24"/>
        </w:rPr>
        <w:t>cuenta con una población de 1 millón 243 mil 756 habitantes, de los cuales el 48.88% son hombres (607,907 habitantes) y el restante 51.12% (635,849 habitantes) son mujeres.</w:t>
      </w:r>
      <w:r w:rsidR="00D80394">
        <w:rPr>
          <w:rFonts w:ascii="Arial" w:hAnsi="Arial" w:cs="Arial"/>
          <w:sz w:val="24"/>
          <w:szCs w:val="24"/>
        </w:rPr>
        <w:t xml:space="preserve"> </w:t>
      </w:r>
      <w:r w:rsidR="008C1F1B">
        <w:rPr>
          <w:rFonts w:ascii="Arial" w:hAnsi="Arial" w:cs="Arial"/>
          <w:sz w:val="24"/>
          <w:szCs w:val="24"/>
        </w:rPr>
        <w:t>De acuerdo a estimaciones del Consejo Nacional de Población la población del municipio en 2015 es de 1 millón 340 mil 283 habitantes.</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36"/>
        <w:gridCol w:w="2410"/>
      </w:tblGrid>
      <w:tr w:rsidR="00147423" w:rsidRPr="00A04FDE" w:rsidTr="00645929">
        <w:trPr>
          <w:trHeight w:val="315"/>
        </w:trPr>
        <w:tc>
          <w:tcPr>
            <w:tcW w:w="6536" w:type="dxa"/>
            <w:shd w:val="clear" w:color="auto" w:fill="E36C0A" w:themeFill="accent6" w:themeFillShade="BF"/>
            <w:noWrap/>
            <w:vAlign w:val="center"/>
            <w:hideMark/>
          </w:tcPr>
          <w:p w:rsidR="00900E79" w:rsidRPr="00A04FDE" w:rsidRDefault="0027240E" w:rsidP="008006A3">
            <w:pPr>
              <w:spacing w:after="0" w:line="240" w:lineRule="auto"/>
              <w:jc w:val="center"/>
              <w:rPr>
                <w:rFonts w:ascii="Arial" w:eastAsia="Times New Roman" w:hAnsi="Arial" w:cs="Arial"/>
                <w:b/>
                <w:color w:val="000000"/>
                <w:sz w:val="20"/>
                <w:lang w:eastAsia="es-MX"/>
              </w:rPr>
            </w:pPr>
            <w:r w:rsidRPr="00A04FDE">
              <w:rPr>
                <w:rFonts w:ascii="Arial" w:eastAsia="Times New Roman" w:hAnsi="Arial" w:cs="Arial"/>
                <w:b/>
                <w:color w:val="000000"/>
                <w:sz w:val="20"/>
                <w:lang w:eastAsia="es-MX"/>
              </w:rPr>
              <w:t>ZAPOPAN</w:t>
            </w:r>
          </w:p>
        </w:tc>
        <w:tc>
          <w:tcPr>
            <w:tcW w:w="2410" w:type="dxa"/>
            <w:shd w:val="clear" w:color="auto" w:fill="E36C0A" w:themeFill="accent6" w:themeFillShade="BF"/>
            <w:noWrap/>
            <w:vAlign w:val="center"/>
            <w:hideMark/>
          </w:tcPr>
          <w:p w:rsidR="00900E79" w:rsidRPr="00A04FDE" w:rsidRDefault="008E4D50" w:rsidP="008006A3">
            <w:pPr>
              <w:spacing w:after="0" w:line="240" w:lineRule="auto"/>
              <w:jc w:val="center"/>
              <w:rPr>
                <w:rFonts w:ascii="Arial" w:eastAsia="Times New Roman" w:hAnsi="Arial" w:cs="Arial"/>
                <w:b/>
                <w:color w:val="000000"/>
                <w:sz w:val="20"/>
                <w:lang w:eastAsia="es-MX"/>
              </w:rPr>
            </w:pPr>
            <w:r w:rsidRPr="00A04FDE">
              <w:rPr>
                <w:rFonts w:ascii="Arial" w:eastAsia="Times New Roman" w:hAnsi="Arial" w:cs="Arial"/>
                <w:b/>
                <w:color w:val="000000"/>
                <w:sz w:val="20"/>
                <w:lang w:eastAsia="es-MX"/>
              </w:rPr>
              <w:t>Población</w:t>
            </w:r>
          </w:p>
        </w:tc>
      </w:tr>
      <w:tr w:rsidR="00147423" w:rsidRPr="00A04FDE" w:rsidTr="00645929">
        <w:trPr>
          <w:trHeight w:val="315"/>
        </w:trPr>
        <w:tc>
          <w:tcPr>
            <w:tcW w:w="6536" w:type="dxa"/>
            <w:shd w:val="clear" w:color="auto" w:fill="auto"/>
            <w:noWrap/>
            <w:vAlign w:val="center"/>
            <w:hideMark/>
          </w:tcPr>
          <w:p w:rsidR="00147423" w:rsidRPr="00A04FDE" w:rsidRDefault="0027240E" w:rsidP="008006A3">
            <w:pPr>
              <w:spacing w:after="0" w:line="240" w:lineRule="auto"/>
              <w:jc w:val="both"/>
              <w:rPr>
                <w:rFonts w:ascii="Arial" w:eastAsia="Times New Roman" w:hAnsi="Arial" w:cs="Arial"/>
                <w:color w:val="000000"/>
                <w:sz w:val="20"/>
                <w:lang w:eastAsia="es-MX"/>
              </w:rPr>
            </w:pPr>
            <w:r w:rsidRPr="00A04FDE">
              <w:rPr>
                <w:rFonts w:ascii="Arial" w:eastAsia="Times New Roman" w:hAnsi="Arial" w:cs="Arial"/>
                <w:color w:val="000000"/>
                <w:sz w:val="20"/>
                <w:lang w:eastAsia="es-MX"/>
              </w:rPr>
              <w:t>Población total (Número de personas)</w:t>
            </w:r>
          </w:p>
        </w:tc>
        <w:tc>
          <w:tcPr>
            <w:tcW w:w="2410" w:type="dxa"/>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20"/>
                <w:lang w:eastAsia="es-MX"/>
              </w:rPr>
            </w:pPr>
            <w:r w:rsidRPr="00A04FDE">
              <w:rPr>
                <w:rFonts w:ascii="Arial" w:eastAsia="Times New Roman" w:hAnsi="Arial" w:cs="Arial"/>
                <w:color w:val="000000"/>
                <w:sz w:val="20"/>
                <w:lang w:eastAsia="es-MX"/>
              </w:rPr>
              <w:t>1,243,756</w:t>
            </w:r>
          </w:p>
        </w:tc>
      </w:tr>
      <w:tr w:rsidR="00147423" w:rsidRPr="00A04FDE" w:rsidTr="00645929">
        <w:trPr>
          <w:trHeight w:val="315"/>
        </w:trPr>
        <w:tc>
          <w:tcPr>
            <w:tcW w:w="6536" w:type="dxa"/>
            <w:shd w:val="clear" w:color="auto" w:fill="auto"/>
            <w:noWrap/>
            <w:vAlign w:val="center"/>
            <w:hideMark/>
          </w:tcPr>
          <w:p w:rsidR="00147423" w:rsidRPr="00A04FDE" w:rsidRDefault="0027240E" w:rsidP="008006A3">
            <w:pPr>
              <w:spacing w:after="0" w:line="240" w:lineRule="auto"/>
              <w:jc w:val="both"/>
              <w:rPr>
                <w:rFonts w:ascii="Arial" w:eastAsia="Times New Roman" w:hAnsi="Arial" w:cs="Arial"/>
                <w:color w:val="000000"/>
                <w:sz w:val="20"/>
                <w:lang w:eastAsia="es-MX"/>
              </w:rPr>
            </w:pPr>
            <w:r w:rsidRPr="00A04FDE">
              <w:rPr>
                <w:rFonts w:ascii="Arial" w:eastAsia="Times New Roman" w:hAnsi="Arial" w:cs="Arial"/>
                <w:color w:val="000000"/>
                <w:sz w:val="20"/>
                <w:lang w:eastAsia="es-MX"/>
              </w:rPr>
              <w:t>Población total hombres (Número de personas)</w:t>
            </w:r>
          </w:p>
        </w:tc>
        <w:tc>
          <w:tcPr>
            <w:tcW w:w="2410" w:type="dxa"/>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20"/>
                <w:lang w:eastAsia="es-MX"/>
              </w:rPr>
            </w:pPr>
            <w:r w:rsidRPr="00A04FDE">
              <w:rPr>
                <w:rFonts w:ascii="Arial" w:eastAsia="Times New Roman" w:hAnsi="Arial" w:cs="Arial"/>
                <w:color w:val="000000"/>
                <w:sz w:val="20"/>
                <w:lang w:eastAsia="es-MX"/>
              </w:rPr>
              <w:t>607,907</w:t>
            </w:r>
          </w:p>
        </w:tc>
      </w:tr>
      <w:tr w:rsidR="00147423" w:rsidRPr="00A04FDE" w:rsidTr="00645929">
        <w:trPr>
          <w:trHeight w:val="315"/>
        </w:trPr>
        <w:tc>
          <w:tcPr>
            <w:tcW w:w="6536" w:type="dxa"/>
            <w:shd w:val="clear" w:color="000000" w:fill="FFFFFF"/>
            <w:vAlign w:val="center"/>
            <w:hideMark/>
          </w:tcPr>
          <w:p w:rsidR="00147423" w:rsidRPr="00A04FDE" w:rsidRDefault="0027240E" w:rsidP="008006A3">
            <w:pPr>
              <w:spacing w:after="0" w:line="240" w:lineRule="auto"/>
              <w:jc w:val="both"/>
              <w:rPr>
                <w:rFonts w:ascii="Arial" w:eastAsia="Times New Roman" w:hAnsi="Arial" w:cs="Arial"/>
                <w:color w:val="000000"/>
                <w:sz w:val="20"/>
                <w:lang w:eastAsia="es-MX"/>
              </w:rPr>
            </w:pPr>
            <w:r w:rsidRPr="00A04FDE">
              <w:rPr>
                <w:rFonts w:ascii="Arial" w:eastAsia="Times New Roman" w:hAnsi="Arial" w:cs="Arial"/>
                <w:color w:val="000000"/>
                <w:sz w:val="20"/>
                <w:lang w:eastAsia="es-MX"/>
              </w:rPr>
              <w:t>Población total mujeres (Número de personas)</w:t>
            </w:r>
          </w:p>
        </w:tc>
        <w:tc>
          <w:tcPr>
            <w:tcW w:w="2410" w:type="dxa"/>
            <w:shd w:val="clear" w:color="000000" w:fill="FFFFFF"/>
            <w:vAlign w:val="center"/>
            <w:hideMark/>
          </w:tcPr>
          <w:p w:rsidR="00900E79" w:rsidRPr="00A04FDE" w:rsidRDefault="0027240E" w:rsidP="008006A3">
            <w:pPr>
              <w:spacing w:after="0" w:line="240" w:lineRule="auto"/>
              <w:jc w:val="center"/>
              <w:rPr>
                <w:rFonts w:ascii="Arial" w:eastAsia="Times New Roman" w:hAnsi="Arial" w:cs="Arial"/>
                <w:color w:val="000000"/>
                <w:sz w:val="20"/>
                <w:lang w:eastAsia="es-MX"/>
              </w:rPr>
            </w:pPr>
            <w:r w:rsidRPr="00A04FDE">
              <w:rPr>
                <w:rFonts w:ascii="Arial" w:eastAsia="Times New Roman" w:hAnsi="Arial" w:cs="Arial"/>
                <w:color w:val="000000"/>
                <w:sz w:val="20"/>
                <w:lang w:eastAsia="es-MX"/>
              </w:rPr>
              <w:t>635,849</w:t>
            </w:r>
          </w:p>
        </w:tc>
      </w:tr>
    </w:tbl>
    <w:p w:rsidR="00147423" w:rsidRPr="00A04FDE" w:rsidRDefault="00147423" w:rsidP="008006A3">
      <w:pPr>
        <w:spacing w:after="0" w:line="360" w:lineRule="auto"/>
        <w:jc w:val="both"/>
        <w:rPr>
          <w:rFonts w:ascii="Arial" w:eastAsia="Times New Roman" w:hAnsi="Arial" w:cs="Arial"/>
          <w:color w:val="000000"/>
          <w:sz w:val="20"/>
          <w:szCs w:val="24"/>
          <w:lang w:eastAsia="es-MX"/>
        </w:rPr>
      </w:pPr>
      <w:r w:rsidRPr="00A04FDE">
        <w:rPr>
          <w:rFonts w:ascii="Arial" w:eastAsia="Times New Roman" w:hAnsi="Arial" w:cs="Arial"/>
          <w:color w:val="000000"/>
          <w:sz w:val="20"/>
          <w:szCs w:val="24"/>
          <w:lang w:eastAsia="es-MX"/>
        </w:rPr>
        <w:t xml:space="preserve">Fuente: </w:t>
      </w:r>
      <w:r w:rsidR="008E4D50" w:rsidRPr="00A04FDE">
        <w:rPr>
          <w:rFonts w:ascii="Arial" w:eastAsia="Times New Roman" w:hAnsi="Arial" w:cs="Arial"/>
          <w:color w:val="000000"/>
          <w:sz w:val="20"/>
          <w:szCs w:val="24"/>
          <w:lang w:eastAsia="es-MX"/>
        </w:rPr>
        <w:t xml:space="preserve">Censo de Población y Vivienda 2010. </w:t>
      </w:r>
      <w:r w:rsidRPr="00A04FDE">
        <w:rPr>
          <w:rFonts w:ascii="Arial" w:eastAsia="Times New Roman" w:hAnsi="Arial" w:cs="Arial"/>
          <w:color w:val="000000"/>
          <w:sz w:val="20"/>
          <w:szCs w:val="24"/>
          <w:lang w:eastAsia="es-MX"/>
        </w:rPr>
        <w:t xml:space="preserve">Instituto Nacional de Estadística </w:t>
      </w:r>
      <w:r w:rsidR="004B72B5" w:rsidRPr="00A04FDE">
        <w:rPr>
          <w:rFonts w:ascii="Arial" w:eastAsia="Times New Roman" w:hAnsi="Arial" w:cs="Arial"/>
          <w:color w:val="000000"/>
          <w:sz w:val="20"/>
          <w:szCs w:val="24"/>
          <w:lang w:eastAsia="es-MX"/>
        </w:rPr>
        <w:t>y</w:t>
      </w:r>
      <w:r w:rsidRPr="00A04FDE">
        <w:rPr>
          <w:rFonts w:ascii="Arial" w:eastAsia="Times New Roman" w:hAnsi="Arial" w:cs="Arial"/>
          <w:color w:val="000000"/>
          <w:sz w:val="20"/>
          <w:szCs w:val="24"/>
          <w:lang w:eastAsia="es-MX"/>
        </w:rPr>
        <w:t xml:space="preserve"> Geografía (INEGI).</w:t>
      </w:r>
    </w:p>
    <w:p w:rsidR="00900E79" w:rsidRDefault="007851B5" w:rsidP="008006A3">
      <w:pPr>
        <w:spacing w:after="0" w:line="360" w:lineRule="auto"/>
        <w:jc w:val="both"/>
        <w:rPr>
          <w:rFonts w:ascii="Arial" w:hAnsi="Arial" w:cs="Arial"/>
          <w:sz w:val="24"/>
          <w:szCs w:val="24"/>
        </w:rPr>
      </w:pPr>
      <w:r>
        <w:rPr>
          <w:rFonts w:ascii="Arial" w:hAnsi="Arial" w:cs="Arial"/>
          <w:sz w:val="24"/>
          <w:szCs w:val="24"/>
        </w:rPr>
        <w:t>Por otra parte, del total de la población del municipio de Zapopan, el 28% de ésta se encuentra en un rango de edad de entre 15 a 29 años, mientras que las población con rango de edad de entre 0 a 14 años representa el 27.34% del total de la población municipal, a su vez la población en edad entre 30 y 44 años representa el 21.71% del total de la población.</w:t>
      </w:r>
      <w:r w:rsidR="00D80394">
        <w:rPr>
          <w:rFonts w:ascii="Arial" w:hAnsi="Arial" w:cs="Arial"/>
          <w:sz w:val="24"/>
          <w:szCs w:val="24"/>
        </w:rPr>
        <w:t xml:space="preserve"> </w:t>
      </w:r>
      <w:r>
        <w:rPr>
          <w:rFonts w:ascii="Arial" w:hAnsi="Arial" w:cs="Arial"/>
          <w:sz w:val="24"/>
          <w:szCs w:val="24"/>
        </w:rPr>
        <w:t xml:space="preserve">Lo anterior, significa que el 77.05% de la población es menor a 45 años de edad, </w:t>
      </w:r>
      <w:r w:rsidR="00D80394">
        <w:rPr>
          <w:rFonts w:ascii="Arial" w:hAnsi="Arial" w:cs="Arial"/>
          <w:sz w:val="24"/>
          <w:szCs w:val="24"/>
        </w:rPr>
        <w:t xml:space="preserve">así mismo, la edad mediana del municipio en general es de 26 años, mientras que para mujeres es de 27 y para hombres de 25 años de edad, </w:t>
      </w:r>
      <w:r>
        <w:rPr>
          <w:rFonts w:ascii="Arial" w:hAnsi="Arial" w:cs="Arial"/>
          <w:sz w:val="24"/>
          <w:szCs w:val="24"/>
        </w:rPr>
        <w:t>por lo que en términos generales el municipio de Zapopan puede considerarse joven en relación a la edad de sus habitantes.</w:t>
      </w:r>
      <w:r w:rsidR="00D80394">
        <w:rPr>
          <w:rFonts w:ascii="Arial" w:hAnsi="Arial" w:cs="Arial"/>
          <w:sz w:val="24"/>
          <w:szCs w:val="24"/>
        </w:rPr>
        <w:t xml:space="preserve"> </w:t>
      </w:r>
    </w:p>
    <w:tbl>
      <w:tblPr>
        <w:tblW w:w="8946" w:type="dxa"/>
        <w:tblInd w:w="55" w:type="dxa"/>
        <w:tblCellMar>
          <w:left w:w="70" w:type="dxa"/>
          <w:right w:w="70" w:type="dxa"/>
        </w:tblCellMar>
        <w:tblLook w:val="04A0"/>
      </w:tblPr>
      <w:tblGrid>
        <w:gridCol w:w="6274"/>
        <w:gridCol w:w="1188"/>
        <w:gridCol w:w="1484"/>
      </w:tblGrid>
      <w:tr w:rsidR="00896A21" w:rsidRPr="00A04FDE" w:rsidTr="00645929">
        <w:trPr>
          <w:trHeight w:val="278"/>
        </w:trPr>
        <w:tc>
          <w:tcPr>
            <w:tcW w:w="6274"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900E79"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ZAPOPAN</w:t>
            </w:r>
          </w:p>
        </w:tc>
        <w:tc>
          <w:tcPr>
            <w:tcW w:w="1188"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900E79"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TOTAL</w:t>
            </w:r>
          </w:p>
        </w:tc>
        <w:tc>
          <w:tcPr>
            <w:tcW w:w="1484"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rsidR="00900E79"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w:t>
            </w:r>
          </w:p>
        </w:tc>
      </w:tr>
      <w:tr w:rsidR="00896A21" w:rsidRPr="00A04FDE" w:rsidTr="00645929">
        <w:trPr>
          <w:trHeight w:val="278"/>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Porcentaje de población de 0 a 14 años, 2010</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340,334</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27.34</w:t>
            </w:r>
          </w:p>
        </w:tc>
      </w:tr>
      <w:tr w:rsidR="00896A21" w:rsidRPr="00A04FDE" w:rsidTr="00645929">
        <w:trPr>
          <w:trHeight w:val="278"/>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Porcentaje de población de 15 a 29 años, 2010</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348,244</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28</w:t>
            </w:r>
            <w:r w:rsidR="00BC4D4B" w:rsidRPr="00A04FDE">
              <w:rPr>
                <w:rFonts w:ascii="Arial" w:eastAsia="Times New Roman" w:hAnsi="Arial" w:cs="Arial"/>
                <w:color w:val="000000"/>
                <w:sz w:val="16"/>
                <w:lang w:eastAsia="es-MX"/>
              </w:rPr>
              <w:t>.00</w:t>
            </w:r>
          </w:p>
        </w:tc>
      </w:tr>
      <w:tr w:rsidR="00896A21" w:rsidRPr="00A04FDE" w:rsidTr="00645929">
        <w:trPr>
          <w:trHeight w:val="278"/>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Porcentaje de población de 30 a 44 años, 2010</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270,015</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21.71</w:t>
            </w:r>
          </w:p>
        </w:tc>
      </w:tr>
      <w:tr w:rsidR="00896A21" w:rsidRPr="00A04FDE" w:rsidTr="00645929">
        <w:trPr>
          <w:trHeight w:val="278"/>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Porcentaje de población de 45 a 59</w:t>
            </w:r>
            <w:r w:rsidR="00645929">
              <w:rPr>
                <w:rFonts w:ascii="Arial" w:eastAsia="Times New Roman" w:hAnsi="Arial" w:cs="Arial"/>
                <w:color w:val="000000"/>
                <w:sz w:val="16"/>
                <w:lang w:eastAsia="es-MX"/>
              </w:rPr>
              <w:t xml:space="preserve"> años</w:t>
            </w:r>
            <w:r w:rsidRPr="00A04FDE">
              <w:rPr>
                <w:rFonts w:ascii="Arial" w:eastAsia="Times New Roman" w:hAnsi="Arial" w:cs="Arial"/>
                <w:color w:val="000000"/>
                <w:sz w:val="16"/>
                <w:lang w:eastAsia="es-MX"/>
              </w:rPr>
              <w:t>, 2010</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170,819</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13.74</w:t>
            </w:r>
          </w:p>
        </w:tc>
      </w:tr>
      <w:tr w:rsidR="00896A21" w:rsidRPr="00A04FDE" w:rsidTr="00645929">
        <w:trPr>
          <w:trHeight w:val="278"/>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Porcentaj</w:t>
            </w:r>
            <w:r w:rsidR="00645929">
              <w:rPr>
                <w:rFonts w:ascii="Arial" w:eastAsia="Times New Roman" w:hAnsi="Arial" w:cs="Arial"/>
                <w:color w:val="000000"/>
                <w:sz w:val="16"/>
                <w:lang w:eastAsia="es-MX"/>
              </w:rPr>
              <w:t>e de población de 60 y más años</w:t>
            </w:r>
            <w:r w:rsidRPr="00A04FDE">
              <w:rPr>
                <w:rFonts w:ascii="Arial" w:eastAsia="Times New Roman" w:hAnsi="Arial" w:cs="Arial"/>
                <w:color w:val="000000"/>
                <w:sz w:val="16"/>
                <w:lang w:eastAsia="es-MX"/>
              </w:rPr>
              <w:t>, 2010</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94,912</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7.64</w:t>
            </w:r>
          </w:p>
        </w:tc>
      </w:tr>
      <w:tr w:rsidR="00896A21" w:rsidRPr="00A04FDE" w:rsidTr="00645929">
        <w:trPr>
          <w:trHeight w:val="131"/>
        </w:trPr>
        <w:tc>
          <w:tcPr>
            <w:tcW w:w="6274" w:type="dxa"/>
            <w:tcBorders>
              <w:top w:val="nil"/>
              <w:left w:val="single" w:sz="4" w:space="0" w:color="auto"/>
              <w:bottom w:val="single" w:sz="4" w:space="0" w:color="auto"/>
              <w:right w:val="single" w:sz="4" w:space="0" w:color="auto"/>
            </w:tcBorders>
            <w:shd w:val="clear" w:color="auto" w:fill="auto"/>
            <w:noWrap/>
            <w:vAlign w:val="center"/>
            <w:hideMark/>
          </w:tcPr>
          <w:p w:rsidR="00896A21" w:rsidRPr="00A04FDE" w:rsidRDefault="0027240E" w:rsidP="008006A3">
            <w:pPr>
              <w:spacing w:after="0" w:line="240" w:lineRule="auto"/>
              <w:jc w:val="both"/>
              <w:rPr>
                <w:rFonts w:ascii="Arial" w:eastAsia="Times New Roman" w:hAnsi="Arial" w:cs="Arial"/>
                <w:color w:val="000000"/>
                <w:sz w:val="16"/>
                <w:lang w:eastAsia="es-MX"/>
              </w:rPr>
            </w:pPr>
            <w:r w:rsidRPr="00A04FDE">
              <w:rPr>
                <w:rFonts w:ascii="Arial" w:eastAsia="Times New Roman" w:hAnsi="Arial" w:cs="Arial"/>
                <w:color w:val="000000"/>
                <w:sz w:val="16"/>
                <w:lang w:eastAsia="es-MX"/>
              </w:rPr>
              <w:t>No especificado</w:t>
            </w:r>
          </w:p>
        </w:tc>
        <w:tc>
          <w:tcPr>
            <w:tcW w:w="1188"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19,432</w:t>
            </w:r>
          </w:p>
        </w:tc>
        <w:tc>
          <w:tcPr>
            <w:tcW w:w="1484" w:type="dxa"/>
            <w:tcBorders>
              <w:top w:val="nil"/>
              <w:left w:val="nil"/>
              <w:bottom w:val="single" w:sz="4" w:space="0" w:color="auto"/>
              <w:right w:val="single" w:sz="4" w:space="0" w:color="auto"/>
            </w:tcBorders>
            <w:shd w:val="clear" w:color="auto" w:fill="auto"/>
            <w:noWrap/>
            <w:vAlign w:val="center"/>
            <w:hideMark/>
          </w:tcPr>
          <w:p w:rsidR="00900E79" w:rsidRPr="00A04FDE" w:rsidRDefault="0027240E" w:rsidP="008006A3">
            <w:pPr>
              <w:spacing w:after="0" w:line="240" w:lineRule="auto"/>
              <w:jc w:val="center"/>
              <w:rPr>
                <w:rFonts w:ascii="Arial" w:eastAsia="Times New Roman" w:hAnsi="Arial" w:cs="Arial"/>
                <w:color w:val="000000"/>
                <w:sz w:val="16"/>
                <w:lang w:eastAsia="es-MX"/>
              </w:rPr>
            </w:pPr>
            <w:r w:rsidRPr="00A04FDE">
              <w:rPr>
                <w:rFonts w:ascii="Arial" w:eastAsia="Times New Roman" w:hAnsi="Arial" w:cs="Arial"/>
                <w:color w:val="000000"/>
                <w:sz w:val="16"/>
                <w:lang w:eastAsia="es-MX"/>
              </w:rPr>
              <w:t>1.57</w:t>
            </w:r>
          </w:p>
        </w:tc>
      </w:tr>
      <w:tr w:rsidR="00896A21" w:rsidRPr="00A04FDE" w:rsidTr="00645929">
        <w:trPr>
          <w:trHeight w:val="57"/>
        </w:trPr>
        <w:tc>
          <w:tcPr>
            <w:tcW w:w="6274" w:type="dxa"/>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896A21"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TOTAL</w:t>
            </w:r>
          </w:p>
        </w:tc>
        <w:tc>
          <w:tcPr>
            <w:tcW w:w="1188" w:type="dxa"/>
            <w:tcBorders>
              <w:top w:val="nil"/>
              <w:left w:val="nil"/>
              <w:bottom w:val="single" w:sz="4" w:space="0" w:color="auto"/>
              <w:right w:val="single" w:sz="4" w:space="0" w:color="auto"/>
            </w:tcBorders>
            <w:shd w:val="clear" w:color="auto" w:fill="FABF8F" w:themeFill="accent6" w:themeFillTint="99"/>
            <w:noWrap/>
            <w:vAlign w:val="center"/>
            <w:hideMark/>
          </w:tcPr>
          <w:p w:rsidR="00900E79"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1,243,756</w:t>
            </w:r>
          </w:p>
        </w:tc>
        <w:tc>
          <w:tcPr>
            <w:tcW w:w="1484" w:type="dxa"/>
            <w:tcBorders>
              <w:top w:val="nil"/>
              <w:left w:val="nil"/>
              <w:bottom w:val="single" w:sz="4" w:space="0" w:color="auto"/>
              <w:right w:val="single" w:sz="4" w:space="0" w:color="auto"/>
            </w:tcBorders>
            <w:shd w:val="clear" w:color="auto" w:fill="FABF8F" w:themeFill="accent6" w:themeFillTint="99"/>
            <w:noWrap/>
            <w:vAlign w:val="center"/>
            <w:hideMark/>
          </w:tcPr>
          <w:p w:rsidR="00900E79" w:rsidRPr="00A04FDE" w:rsidRDefault="0027240E" w:rsidP="008006A3">
            <w:pPr>
              <w:spacing w:after="0" w:line="240" w:lineRule="auto"/>
              <w:jc w:val="center"/>
              <w:rPr>
                <w:rFonts w:ascii="Arial" w:eastAsia="Times New Roman" w:hAnsi="Arial" w:cs="Arial"/>
                <w:b/>
                <w:bCs/>
                <w:color w:val="000000"/>
                <w:sz w:val="16"/>
                <w:lang w:eastAsia="es-MX"/>
              </w:rPr>
            </w:pPr>
            <w:r w:rsidRPr="00A04FDE">
              <w:rPr>
                <w:rFonts w:ascii="Arial" w:eastAsia="Times New Roman" w:hAnsi="Arial" w:cs="Arial"/>
                <w:b/>
                <w:bCs/>
                <w:color w:val="000000"/>
                <w:sz w:val="16"/>
                <w:lang w:eastAsia="es-MX"/>
              </w:rPr>
              <w:t>100</w:t>
            </w:r>
          </w:p>
        </w:tc>
      </w:tr>
    </w:tbl>
    <w:p w:rsidR="00896A21" w:rsidRPr="00A04FDE" w:rsidRDefault="00896A21" w:rsidP="008006A3">
      <w:pPr>
        <w:spacing w:line="240" w:lineRule="auto"/>
        <w:jc w:val="both"/>
        <w:rPr>
          <w:rFonts w:ascii="Arial" w:eastAsia="Times New Roman" w:hAnsi="Arial" w:cs="Arial"/>
          <w:color w:val="000000"/>
          <w:sz w:val="20"/>
          <w:szCs w:val="24"/>
          <w:lang w:eastAsia="es-MX"/>
        </w:rPr>
      </w:pPr>
      <w:r w:rsidRPr="00A04FDE">
        <w:rPr>
          <w:rFonts w:ascii="Arial" w:eastAsia="Times New Roman" w:hAnsi="Arial" w:cs="Arial"/>
          <w:color w:val="000000"/>
          <w:sz w:val="20"/>
          <w:szCs w:val="24"/>
          <w:lang w:eastAsia="es-MX"/>
        </w:rPr>
        <w:t xml:space="preserve">Fuente: </w:t>
      </w:r>
      <w:r w:rsidR="008E4D50" w:rsidRPr="00A04FDE">
        <w:rPr>
          <w:rFonts w:ascii="Arial" w:eastAsia="Times New Roman" w:hAnsi="Arial" w:cs="Arial"/>
          <w:color w:val="000000"/>
          <w:sz w:val="20"/>
          <w:szCs w:val="24"/>
          <w:lang w:eastAsia="es-MX"/>
        </w:rPr>
        <w:t xml:space="preserve">Censo de Población y Vivienda 2010. </w:t>
      </w:r>
      <w:r w:rsidRPr="00A04FDE">
        <w:rPr>
          <w:rFonts w:ascii="Arial" w:eastAsia="Times New Roman" w:hAnsi="Arial" w:cs="Arial"/>
          <w:color w:val="000000"/>
          <w:sz w:val="20"/>
          <w:szCs w:val="24"/>
          <w:lang w:eastAsia="es-MX"/>
        </w:rPr>
        <w:t xml:space="preserve">Instituto Nacional de Estadística </w:t>
      </w:r>
      <w:r w:rsidR="004B72B5" w:rsidRPr="00A04FDE">
        <w:rPr>
          <w:rFonts w:ascii="Arial" w:eastAsia="Times New Roman" w:hAnsi="Arial" w:cs="Arial"/>
          <w:color w:val="000000"/>
          <w:sz w:val="20"/>
          <w:szCs w:val="24"/>
          <w:lang w:eastAsia="es-MX"/>
        </w:rPr>
        <w:t>y</w:t>
      </w:r>
      <w:r w:rsidRPr="00A04FDE">
        <w:rPr>
          <w:rFonts w:ascii="Arial" w:eastAsia="Times New Roman" w:hAnsi="Arial" w:cs="Arial"/>
          <w:color w:val="000000"/>
          <w:sz w:val="20"/>
          <w:szCs w:val="24"/>
          <w:lang w:eastAsia="es-MX"/>
        </w:rPr>
        <w:t xml:space="preserve"> Geografía (INEGI).</w:t>
      </w:r>
    </w:p>
    <w:p w:rsidR="00900E79" w:rsidRDefault="007851B5" w:rsidP="008E4D50">
      <w:pPr>
        <w:spacing w:line="360" w:lineRule="auto"/>
        <w:jc w:val="both"/>
        <w:rPr>
          <w:rFonts w:ascii="Arial" w:hAnsi="Arial" w:cs="Arial"/>
          <w:sz w:val="24"/>
          <w:szCs w:val="24"/>
        </w:rPr>
      </w:pPr>
      <w:r>
        <w:rPr>
          <w:rFonts w:ascii="Arial" w:eastAsia="Times New Roman" w:hAnsi="Arial" w:cs="Arial"/>
          <w:color w:val="000000"/>
          <w:sz w:val="24"/>
          <w:szCs w:val="24"/>
          <w:lang w:eastAsia="es-MX"/>
        </w:rPr>
        <w:lastRenderedPageBreak/>
        <w:t>Los datos anteriores</w:t>
      </w:r>
      <w:r w:rsidR="008E4D50">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señalan que las políticas de gasto que el municipio implementar</w:t>
      </w:r>
      <w:r w:rsidR="00EB6847">
        <w:rPr>
          <w:rFonts w:ascii="Arial" w:eastAsia="Times New Roman" w:hAnsi="Arial" w:cs="Arial"/>
          <w:color w:val="000000"/>
          <w:sz w:val="24"/>
          <w:szCs w:val="24"/>
          <w:lang w:eastAsia="es-MX"/>
        </w:rPr>
        <w:t>á</w:t>
      </w:r>
      <w:r>
        <w:rPr>
          <w:rFonts w:ascii="Arial" w:eastAsia="Times New Roman" w:hAnsi="Arial" w:cs="Arial"/>
          <w:color w:val="000000"/>
          <w:sz w:val="24"/>
          <w:szCs w:val="24"/>
          <w:lang w:eastAsia="es-MX"/>
        </w:rPr>
        <w:t xml:space="preserve"> para el ejercicio 2016 </w:t>
      </w:r>
      <w:r w:rsidR="00EB6847">
        <w:rPr>
          <w:rFonts w:ascii="Arial" w:eastAsia="Times New Roman" w:hAnsi="Arial" w:cs="Arial"/>
          <w:color w:val="000000"/>
          <w:sz w:val="24"/>
          <w:szCs w:val="24"/>
          <w:lang w:eastAsia="es-MX"/>
        </w:rPr>
        <w:t xml:space="preserve">deberán estar dirigidas de forma prioritaria en aprovechar el capital humano con el que se cuenta en estos momentos, por lo que dichas políticas de gasto tienen que orientarse a mejorar las capacidades y aptitudes profesionales, a través de incentivar un ambiente adecuado tanto en el entorno familiar como en el </w:t>
      </w:r>
      <w:r w:rsidR="008E4D50">
        <w:rPr>
          <w:rFonts w:ascii="Arial" w:eastAsia="Times New Roman" w:hAnsi="Arial" w:cs="Arial"/>
          <w:color w:val="000000"/>
          <w:sz w:val="24"/>
          <w:szCs w:val="24"/>
          <w:lang w:eastAsia="es-MX"/>
        </w:rPr>
        <w:t xml:space="preserve">entorno </w:t>
      </w:r>
      <w:r w:rsidR="00EB6847">
        <w:rPr>
          <w:rFonts w:ascii="Arial" w:eastAsia="Times New Roman" w:hAnsi="Arial" w:cs="Arial"/>
          <w:color w:val="000000"/>
          <w:sz w:val="24"/>
          <w:szCs w:val="24"/>
          <w:lang w:eastAsia="es-MX"/>
        </w:rPr>
        <w:t xml:space="preserve">social </w:t>
      </w:r>
      <w:r w:rsidR="008E4D50">
        <w:rPr>
          <w:rFonts w:ascii="Arial" w:eastAsia="Times New Roman" w:hAnsi="Arial" w:cs="Arial"/>
          <w:color w:val="000000"/>
          <w:sz w:val="24"/>
          <w:szCs w:val="24"/>
          <w:lang w:eastAsia="es-MX"/>
        </w:rPr>
        <w:t>que permitan</w:t>
      </w:r>
      <w:r w:rsidR="00EB6847">
        <w:rPr>
          <w:rFonts w:ascii="Arial" w:eastAsia="Times New Roman" w:hAnsi="Arial" w:cs="Arial"/>
          <w:color w:val="000000"/>
          <w:sz w:val="24"/>
          <w:szCs w:val="24"/>
          <w:lang w:eastAsia="es-MX"/>
        </w:rPr>
        <w:t xml:space="preserve"> potencializar el desarrollo de los individuos con edad menor a 45 años.</w:t>
      </w:r>
    </w:p>
    <w:p w:rsidR="004C7895" w:rsidRDefault="008E4D50" w:rsidP="008E4D50">
      <w:pPr>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Sin embargo, es necesario también velar por el resto de la población principalmente el sector más desprotegido como lo son las personas adultas con edad de 60 años o más.</w:t>
      </w:r>
    </w:p>
    <w:p w:rsidR="00674350" w:rsidRDefault="00674350" w:rsidP="008E4D50">
      <w:pPr>
        <w:spacing w:line="360" w:lineRule="auto"/>
        <w:jc w:val="both"/>
        <w:rPr>
          <w:rFonts w:ascii="Arial" w:hAnsi="Arial" w:cs="Arial"/>
          <w:sz w:val="24"/>
          <w:szCs w:val="24"/>
        </w:rPr>
      </w:pPr>
    </w:p>
    <w:p w:rsidR="00900E79" w:rsidRDefault="0027240E" w:rsidP="008E4D50">
      <w:pPr>
        <w:pStyle w:val="Prrafodelista"/>
        <w:numPr>
          <w:ilvl w:val="0"/>
          <w:numId w:val="2"/>
        </w:numPr>
        <w:spacing w:line="360" w:lineRule="auto"/>
        <w:jc w:val="both"/>
        <w:rPr>
          <w:rFonts w:ascii="Arial" w:hAnsi="Arial" w:cs="Arial"/>
          <w:b/>
          <w:sz w:val="24"/>
          <w:szCs w:val="24"/>
        </w:rPr>
      </w:pPr>
      <w:r w:rsidRPr="0027240E">
        <w:rPr>
          <w:rFonts w:ascii="Arial" w:hAnsi="Arial" w:cs="Arial"/>
          <w:b/>
          <w:sz w:val="24"/>
          <w:szCs w:val="24"/>
        </w:rPr>
        <w:t>Empleo</w:t>
      </w:r>
      <w:r w:rsidR="00900E79">
        <w:rPr>
          <w:rFonts w:ascii="Arial" w:hAnsi="Arial" w:cs="Arial"/>
          <w:b/>
          <w:sz w:val="24"/>
          <w:szCs w:val="24"/>
        </w:rPr>
        <w:t xml:space="preserve"> y Trabajo</w:t>
      </w:r>
    </w:p>
    <w:p w:rsidR="00600BE8" w:rsidRDefault="00600BE8" w:rsidP="008E4D50">
      <w:pPr>
        <w:spacing w:line="360" w:lineRule="auto"/>
        <w:jc w:val="both"/>
        <w:rPr>
          <w:rFonts w:ascii="Arial" w:hAnsi="Arial" w:cs="Arial"/>
          <w:sz w:val="24"/>
          <w:szCs w:val="24"/>
        </w:rPr>
      </w:pPr>
      <w:r>
        <w:rPr>
          <w:rFonts w:ascii="Arial" w:hAnsi="Arial" w:cs="Arial"/>
          <w:sz w:val="24"/>
          <w:szCs w:val="24"/>
        </w:rPr>
        <w:t>En lo que respecta al empleo en el municipio de Zapopan, la Población Económicamente Activa (PEA) representa el 45.20% del total de la población, es decir, 562,233 habitantes, de los cuales, el 96.49% se encuentra ocupada, por lo que la tasa de desocupación o desempleo es de 3.51%.</w:t>
      </w:r>
    </w:p>
    <w:p w:rsidR="00900E79" w:rsidRDefault="00600BE8" w:rsidP="008E4D50">
      <w:pPr>
        <w:spacing w:line="360" w:lineRule="auto"/>
        <w:jc w:val="both"/>
        <w:rPr>
          <w:rFonts w:ascii="Arial" w:hAnsi="Arial" w:cs="Arial"/>
          <w:sz w:val="24"/>
          <w:szCs w:val="24"/>
        </w:rPr>
      </w:pPr>
      <w:r>
        <w:rPr>
          <w:rFonts w:ascii="Arial" w:hAnsi="Arial" w:cs="Arial"/>
          <w:sz w:val="24"/>
          <w:szCs w:val="24"/>
        </w:rPr>
        <w:t xml:space="preserve">Por otra parte, del total de la población ocupada, </w:t>
      </w:r>
      <w:r w:rsidR="00EF2921">
        <w:rPr>
          <w:rFonts w:ascii="Arial" w:hAnsi="Arial" w:cs="Arial"/>
          <w:sz w:val="24"/>
          <w:szCs w:val="24"/>
        </w:rPr>
        <w:t>6 mil 293 habitantes se encuentran ocupados en el sector primario de la economía (Agricultura, ganadería, silvicultura, caza y pesca), 141 mil 375 habitantes en el sector secundario (Minería, extracción de petróleo y gas, industria manufacturera, electricidad, agua y construcción) y, 388 mil 48 habitantes en el sector terciario (Gobierno, transporte, comercio y otros servicios). El restante 6 mil 781 habitantes no se especifican el sector al que pertenece su actividad económica.</w:t>
      </w:r>
    </w:p>
    <w:p w:rsidR="00600BE8" w:rsidRDefault="00900E79" w:rsidP="008006A3">
      <w:pPr>
        <w:spacing w:after="0" w:line="240" w:lineRule="auto"/>
        <w:jc w:val="both"/>
        <w:rPr>
          <w:rFonts w:ascii="Arial" w:hAnsi="Arial" w:cs="Arial"/>
          <w:sz w:val="24"/>
          <w:szCs w:val="24"/>
        </w:rPr>
      </w:pPr>
      <w:r>
        <w:rPr>
          <w:noProof/>
          <w:szCs w:val="24"/>
          <w:lang w:val="es-CL" w:eastAsia="es-CL"/>
        </w:rPr>
        <w:drawing>
          <wp:inline distT="0" distB="0" distL="0" distR="0">
            <wp:extent cx="5603801" cy="774357"/>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2130" cy="775508"/>
                    </a:xfrm>
                    <a:prstGeom prst="rect">
                      <a:avLst/>
                    </a:prstGeom>
                    <a:noFill/>
                    <a:ln w="9525">
                      <a:noFill/>
                      <a:miter lim="800000"/>
                      <a:headEnd/>
                      <a:tailEnd/>
                    </a:ln>
                  </pic:spPr>
                </pic:pic>
              </a:graphicData>
            </a:graphic>
          </wp:inline>
        </w:drawing>
      </w:r>
    </w:p>
    <w:p w:rsidR="00D80394" w:rsidRDefault="00A94FE3" w:rsidP="008006A3">
      <w:pPr>
        <w:spacing w:after="0" w:line="240" w:lineRule="auto"/>
        <w:jc w:val="both"/>
        <w:rPr>
          <w:rFonts w:ascii="Arial" w:eastAsia="Times New Roman" w:hAnsi="Arial" w:cs="Arial"/>
          <w:color w:val="000000"/>
          <w:sz w:val="20"/>
          <w:szCs w:val="24"/>
          <w:lang w:eastAsia="es-MX"/>
        </w:rPr>
      </w:pPr>
      <w:r w:rsidRPr="008006A3">
        <w:rPr>
          <w:rFonts w:ascii="Arial" w:hAnsi="Arial" w:cs="Arial"/>
          <w:sz w:val="20"/>
          <w:szCs w:val="24"/>
        </w:rPr>
        <w:t xml:space="preserve">Fuente: </w:t>
      </w:r>
      <w:r w:rsidR="00D80394" w:rsidRPr="008006A3">
        <w:rPr>
          <w:rFonts w:ascii="Arial" w:hAnsi="Arial" w:cs="Arial"/>
          <w:sz w:val="20"/>
          <w:szCs w:val="24"/>
        </w:rPr>
        <w:t xml:space="preserve">México en cifras. </w:t>
      </w:r>
      <w:r w:rsidR="00D80394" w:rsidRPr="008006A3">
        <w:rPr>
          <w:rFonts w:ascii="Arial" w:eastAsia="Times New Roman" w:hAnsi="Arial" w:cs="Arial"/>
          <w:color w:val="000000"/>
          <w:sz w:val="20"/>
          <w:szCs w:val="24"/>
          <w:lang w:eastAsia="es-MX"/>
        </w:rPr>
        <w:t>Instituto Nacional de Estadística y Geografía (INEGI).</w:t>
      </w:r>
    </w:p>
    <w:p w:rsidR="008006A3" w:rsidRPr="008006A3" w:rsidRDefault="008006A3" w:rsidP="008006A3">
      <w:pPr>
        <w:spacing w:after="0" w:line="240" w:lineRule="auto"/>
        <w:jc w:val="both"/>
        <w:rPr>
          <w:rFonts w:ascii="Arial" w:eastAsia="Times New Roman" w:hAnsi="Arial" w:cs="Arial"/>
          <w:color w:val="000000"/>
          <w:sz w:val="20"/>
          <w:szCs w:val="24"/>
          <w:lang w:eastAsia="es-MX"/>
        </w:rPr>
      </w:pPr>
    </w:p>
    <w:p w:rsidR="00086876" w:rsidRDefault="00086876" w:rsidP="008006A3">
      <w:pPr>
        <w:spacing w:after="0" w:line="360" w:lineRule="auto"/>
        <w:jc w:val="both"/>
        <w:rPr>
          <w:rFonts w:ascii="Arial" w:hAnsi="Arial" w:cs="Arial"/>
          <w:sz w:val="24"/>
          <w:szCs w:val="24"/>
        </w:rPr>
      </w:pPr>
      <w:r>
        <w:rPr>
          <w:rFonts w:ascii="Arial" w:hAnsi="Arial" w:cs="Arial"/>
          <w:sz w:val="24"/>
          <w:szCs w:val="24"/>
        </w:rPr>
        <w:lastRenderedPageBreak/>
        <w:t xml:space="preserve">En comercio, el municipio cuenta con: 4 tiendas </w:t>
      </w:r>
      <w:proofErr w:type="spellStart"/>
      <w:r>
        <w:rPr>
          <w:rFonts w:ascii="Arial" w:hAnsi="Arial" w:cs="Arial"/>
          <w:sz w:val="24"/>
          <w:szCs w:val="24"/>
        </w:rPr>
        <w:t>Diconsa</w:t>
      </w:r>
      <w:proofErr w:type="spellEnd"/>
      <w:r>
        <w:rPr>
          <w:rFonts w:ascii="Arial" w:hAnsi="Arial" w:cs="Arial"/>
          <w:sz w:val="24"/>
          <w:szCs w:val="24"/>
        </w:rPr>
        <w:t>, 72 tianguis, 14 mercados públicos, 4 rastros, 1 central de abastos y, 9 centros de acopio de granos y oleaginosas.</w:t>
      </w:r>
    </w:p>
    <w:p w:rsidR="00BC60F7" w:rsidRDefault="00BC60F7" w:rsidP="008E4D50">
      <w:pPr>
        <w:spacing w:line="360" w:lineRule="auto"/>
        <w:jc w:val="both"/>
        <w:rPr>
          <w:rFonts w:ascii="Arial" w:hAnsi="Arial" w:cs="Arial"/>
          <w:sz w:val="24"/>
          <w:szCs w:val="24"/>
        </w:rPr>
      </w:pPr>
      <w:r>
        <w:rPr>
          <w:rFonts w:ascii="Arial" w:hAnsi="Arial" w:cs="Arial"/>
          <w:sz w:val="24"/>
          <w:szCs w:val="24"/>
        </w:rPr>
        <w:t>En cifras económicas agregadas se tiene en Zapopan para 2013, 42,683 unidades económicas, 258,547 trabajadores dependientes de la razón social y, 63,752 trabajadores no dependientes de la razón social.</w:t>
      </w:r>
    </w:p>
    <w:p w:rsidR="00BC60F7" w:rsidRDefault="00BC60F7" w:rsidP="008E4D50">
      <w:pPr>
        <w:spacing w:line="360" w:lineRule="auto"/>
        <w:jc w:val="both"/>
        <w:rPr>
          <w:rFonts w:ascii="Arial" w:hAnsi="Arial" w:cs="Arial"/>
          <w:sz w:val="24"/>
          <w:szCs w:val="24"/>
        </w:rPr>
      </w:pPr>
      <w:r>
        <w:rPr>
          <w:rFonts w:ascii="Arial" w:hAnsi="Arial" w:cs="Arial"/>
          <w:sz w:val="24"/>
          <w:szCs w:val="24"/>
        </w:rPr>
        <w:t>Así mismo, para el mismo año en Zapopan se registraron remuneraciones por 20,075 millones de pesos; una producción bruta de 187,025 millones de pesos; consumo intermedio por 108,762 millones de pesos; valor agregado censal bruto por 78,263 millones de pesos y; activos fijos por 71,402 millones de pesos.</w:t>
      </w:r>
    </w:p>
    <w:p w:rsidR="00A94FE3" w:rsidRDefault="00900E79" w:rsidP="008E4D50">
      <w:pPr>
        <w:spacing w:line="360" w:lineRule="auto"/>
        <w:jc w:val="both"/>
        <w:rPr>
          <w:rFonts w:ascii="Arial" w:hAnsi="Arial" w:cs="Arial"/>
          <w:sz w:val="24"/>
          <w:szCs w:val="24"/>
        </w:rPr>
      </w:pPr>
      <w:r>
        <w:rPr>
          <w:rFonts w:ascii="Arial" w:hAnsi="Arial" w:cs="Arial"/>
          <w:sz w:val="24"/>
          <w:szCs w:val="24"/>
        </w:rPr>
        <w:t>En Zapopan existen 309,111 trabajadores asegurados al IMSS, de los cuales 266,767 son trabajadores permanentes, 41,952 son trabajadores eventuales urbanos, y 392 trabajadores eventuales del campo.</w:t>
      </w:r>
    </w:p>
    <w:p w:rsidR="00BC60F7" w:rsidRDefault="00900E79" w:rsidP="008E4D50">
      <w:pPr>
        <w:spacing w:line="360" w:lineRule="auto"/>
        <w:jc w:val="both"/>
        <w:rPr>
          <w:rFonts w:ascii="Arial" w:hAnsi="Arial" w:cs="Arial"/>
          <w:sz w:val="24"/>
          <w:szCs w:val="24"/>
        </w:rPr>
      </w:pPr>
      <w:r>
        <w:rPr>
          <w:rFonts w:ascii="Arial" w:hAnsi="Arial" w:cs="Arial"/>
          <w:sz w:val="24"/>
          <w:szCs w:val="24"/>
        </w:rPr>
        <w:t>Así mismo, en 2014 se tienen registrados 5,750 conflictos de trabajo en el que se encuentran involucrados 6,371 trabajadores. Además se tienen 8 convenios de trabajo fuera de juicio en que se involucraron 8 trabajadores.</w:t>
      </w:r>
      <w:r w:rsidR="00BC60F7">
        <w:rPr>
          <w:rFonts w:ascii="Arial" w:hAnsi="Arial" w:cs="Arial"/>
          <w:sz w:val="24"/>
          <w:szCs w:val="24"/>
        </w:rPr>
        <w:t xml:space="preserve"> </w:t>
      </w:r>
      <w:r>
        <w:rPr>
          <w:rFonts w:ascii="Arial" w:hAnsi="Arial" w:cs="Arial"/>
          <w:sz w:val="24"/>
          <w:szCs w:val="24"/>
        </w:rPr>
        <w:t xml:space="preserve">Del total de conflictos registrados, se solucionaron 3,559 </w:t>
      </w:r>
      <w:r w:rsidR="00BC60F7">
        <w:rPr>
          <w:rFonts w:ascii="Arial" w:hAnsi="Arial" w:cs="Arial"/>
          <w:sz w:val="24"/>
          <w:szCs w:val="24"/>
        </w:rPr>
        <w:t xml:space="preserve">habiéndose beneficiado a 4,127 trabajadores. Por otra parte, de los conflictos emplazados a huelga (742), se resolvieron 367. </w:t>
      </w:r>
    </w:p>
    <w:p w:rsidR="00674350" w:rsidRPr="008C1F1B" w:rsidRDefault="00192704" w:rsidP="00192704">
      <w:pPr>
        <w:pStyle w:val="Prrafodelista"/>
        <w:numPr>
          <w:ilvl w:val="0"/>
          <w:numId w:val="2"/>
        </w:numPr>
        <w:spacing w:line="360" w:lineRule="auto"/>
        <w:jc w:val="both"/>
        <w:rPr>
          <w:rFonts w:ascii="Arial" w:hAnsi="Arial" w:cs="Arial"/>
          <w:b/>
          <w:sz w:val="24"/>
          <w:szCs w:val="24"/>
        </w:rPr>
      </w:pPr>
      <w:r w:rsidRPr="008C1F1B">
        <w:rPr>
          <w:rFonts w:ascii="Arial" w:hAnsi="Arial" w:cs="Arial"/>
          <w:b/>
          <w:sz w:val="24"/>
          <w:szCs w:val="24"/>
        </w:rPr>
        <w:t>Vivienda y Hogares</w:t>
      </w:r>
    </w:p>
    <w:p w:rsidR="008C1F1B" w:rsidRDefault="00192704" w:rsidP="00192704">
      <w:pPr>
        <w:spacing w:line="360" w:lineRule="auto"/>
        <w:jc w:val="both"/>
        <w:rPr>
          <w:rFonts w:ascii="Arial" w:hAnsi="Arial" w:cs="Arial"/>
          <w:sz w:val="24"/>
          <w:szCs w:val="24"/>
        </w:rPr>
      </w:pPr>
      <w:r>
        <w:rPr>
          <w:rFonts w:ascii="Arial" w:hAnsi="Arial" w:cs="Arial"/>
          <w:sz w:val="24"/>
          <w:szCs w:val="24"/>
        </w:rPr>
        <w:t>Con base en el Censo de Población y vivienda 2010, en el municipio de Zapopan el 96.39% de la población cuenta con agua entubada, 99.05% con drenaje, 99.60% con electricidad, y se calcula un Índice de Desarrollo Humano de 0.9007 con servicios</w:t>
      </w:r>
      <w:r>
        <w:rPr>
          <w:rStyle w:val="Refdenotaalpie"/>
          <w:rFonts w:ascii="Arial" w:hAnsi="Arial" w:cs="Arial"/>
          <w:sz w:val="24"/>
          <w:szCs w:val="24"/>
        </w:rPr>
        <w:footnoteReference w:id="1"/>
      </w:r>
      <w:r>
        <w:rPr>
          <w:rFonts w:ascii="Arial" w:hAnsi="Arial" w:cs="Arial"/>
          <w:sz w:val="24"/>
          <w:szCs w:val="24"/>
        </w:rPr>
        <w:t>.</w:t>
      </w:r>
      <w:r w:rsidR="008006A3">
        <w:rPr>
          <w:rFonts w:ascii="Arial" w:hAnsi="Arial" w:cs="Arial"/>
          <w:sz w:val="24"/>
          <w:szCs w:val="24"/>
        </w:rPr>
        <w:t xml:space="preserve"> </w:t>
      </w:r>
      <w:r w:rsidR="008C1F1B">
        <w:rPr>
          <w:rFonts w:ascii="Arial" w:hAnsi="Arial" w:cs="Arial"/>
          <w:sz w:val="24"/>
          <w:szCs w:val="24"/>
        </w:rPr>
        <w:t>Respecto a las viviendas se estima con base en el Censo 2010, que existen 317,419 viviendas habitadas, de las cuales 317,297 son viviendas particulares habitadas por 1´239,365 individuos, el restante 122 viviendas son colectivas habitadas por 4,377 personas.</w:t>
      </w:r>
    </w:p>
    <w:p w:rsidR="008C1F1B" w:rsidRDefault="008C1F1B" w:rsidP="00192704">
      <w:pPr>
        <w:spacing w:line="360" w:lineRule="auto"/>
        <w:jc w:val="both"/>
        <w:rPr>
          <w:rFonts w:ascii="Arial" w:hAnsi="Arial" w:cs="Arial"/>
          <w:sz w:val="24"/>
          <w:szCs w:val="24"/>
        </w:rPr>
      </w:pPr>
      <w:r>
        <w:rPr>
          <w:rFonts w:ascii="Arial" w:hAnsi="Arial" w:cs="Arial"/>
          <w:sz w:val="24"/>
          <w:szCs w:val="24"/>
        </w:rPr>
        <w:lastRenderedPageBreak/>
        <w:t>De las viviendas particulares habitadas, 26,720 son ocupadas por 1 persona; 179,549 viviendas las ocupan de 2 a 4 personas; 96,614 la ocupan de 5 a 8 personas y; 8,022 viviendas son ocupadas por 9 o más individuos.</w:t>
      </w:r>
    </w:p>
    <w:p w:rsidR="00D5552C" w:rsidRDefault="008C1F1B" w:rsidP="00192704">
      <w:pPr>
        <w:spacing w:line="360" w:lineRule="auto"/>
        <w:jc w:val="both"/>
        <w:rPr>
          <w:rFonts w:ascii="Arial" w:hAnsi="Arial" w:cs="Arial"/>
          <w:sz w:val="24"/>
          <w:szCs w:val="24"/>
        </w:rPr>
      </w:pPr>
      <w:r>
        <w:rPr>
          <w:rFonts w:ascii="Arial" w:hAnsi="Arial" w:cs="Arial"/>
          <w:sz w:val="24"/>
          <w:szCs w:val="24"/>
        </w:rPr>
        <w:t>Con base en datos de la Comisión Nacional de Vivienda (CONAVI), en 2013 se tenían registrados en el municipio 13,254 créditos p</w:t>
      </w:r>
      <w:r w:rsidR="00D5552C">
        <w:rPr>
          <w:rFonts w:ascii="Arial" w:hAnsi="Arial" w:cs="Arial"/>
          <w:sz w:val="24"/>
          <w:szCs w:val="24"/>
        </w:rPr>
        <w:t>a</w:t>
      </w:r>
      <w:r>
        <w:rPr>
          <w:rFonts w:ascii="Arial" w:hAnsi="Arial" w:cs="Arial"/>
          <w:sz w:val="24"/>
          <w:szCs w:val="24"/>
        </w:rPr>
        <w:t>ra vivienda</w:t>
      </w:r>
      <w:r w:rsidR="00D5552C">
        <w:rPr>
          <w:rFonts w:ascii="Arial" w:hAnsi="Arial" w:cs="Arial"/>
          <w:sz w:val="24"/>
          <w:szCs w:val="24"/>
        </w:rPr>
        <w:t xml:space="preserve">, de los cuáles 7,212 estaban destinados a la compra de vivienda completa; 22 a vivienda inicial; 3,620 a mejoramiento físico de las viviendas y; 2,323 por cofinanciamiento. El valor invertido en programas de vivienda en el mismo año, se estima en 2 mil 406 millones 529 mil pesos. </w:t>
      </w:r>
    </w:p>
    <w:p w:rsidR="00D5552C" w:rsidRPr="0006408C" w:rsidRDefault="00D5552C" w:rsidP="00D5552C">
      <w:pPr>
        <w:pStyle w:val="Prrafodelista"/>
        <w:numPr>
          <w:ilvl w:val="0"/>
          <w:numId w:val="2"/>
        </w:numPr>
        <w:spacing w:line="360" w:lineRule="auto"/>
        <w:jc w:val="both"/>
        <w:rPr>
          <w:rFonts w:ascii="Arial" w:hAnsi="Arial" w:cs="Arial"/>
          <w:b/>
          <w:sz w:val="24"/>
          <w:szCs w:val="24"/>
        </w:rPr>
      </w:pPr>
      <w:r w:rsidRPr="0006408C">
        <w:rPr>
          <w:rFonts w:ascii="Arial" w:hAnsi="Arial" w:cs="Arial"/>
          <w:b/>
          <w:sz w:val="24"/>
          <w:szCs w:val="24"/>
        </w:rPr>
        <w:t>Servicios Públicos</w:t>
      </w:r>
    </w:p>
    <w:p w:rsidR="00D5552C" w:rsidRDefault="00D5552C" w:rsidP="00D5552C">
      <w:pPr>
        <w:spacing w:line="360" w:lineRule="auto"/>
        <w:jc w:val="both"/>
        <w:rPr>
          <w:rFonts w:ascii="Arial" w:hAnsi="Arial" w:cs="Arial"/>
          <w:sz w:val="24"/>
          <w:szCs w:val="24"/>
        </w:rPr>
      </w:pPr>
      <w:r>
        <w:rPr>
          <w:rFonts w:ascii="Arial" w:hAnsi="Arial" w:cs="Arial"/>
          <w:sz w:val="24"/>
          <w:szCs w:val="24"/>
        </w:rPr>
        <w:t>Con base en cifras de la Comisión Nacional del Agua (CONAGUA), en 2014 se tienen registrados 1,107 fuentes de abastecimiento de agua en el municipio, de los cuales 965 son pozos profundos, 83 manantiales, 5 ríos y el restante 54 en otros</w:t>
      </w:r>
      <w:r>
        <w:rPr>
          <w:rStyle w:val="Refdenotaalpie"/>
          <w:rFonts w:ascii="Arial" w:hAnsi="Arial" w:cs="Arial"/>
          <w:sz w:val="24"/>
          <w:szCs w:val="24"/>
        </w:rPr>
        <w:footnoteReference w:id="2"/>
      </w:r>
      <w:r>
        <w:rPr>
          <w:rFonts w:ascii="Arial" w:hAnsi="Arial" w:cs="Arial"/>
          <w:sz w:val="24"/>
          <w:szCs w:val="24"/>
        </w:rPr>
        <w:t>. De dichas fuentes de abastecimiento se obtienen un volumen de extracción promedio diario de 1´336,560 metros cúbicos.</w:t>
      </w:r>
    </w:p>
    <w:p w:rsidR="00D5552C" w:rsidRDefault="00D5552C" w:rsidP="00D5552C">
      <w:pPr>
        <w:spacing w:line="360" w:lineRule="auto"/>
        <w:jc w:val="both"/>
        <w:rPr>
          <w:rFonts w:ascii="Arial" w:hAnsi="Arial" w:cs="Arial"/>
          <w:sz w:val="24"/>
          <w:szCs w:val="24"/>
        </w:rPr>
      </w:pPr>
      <w:r>
        <w:rPr>
          <w:rFonts w:ascii="Arial" w:hAnsi="Arial" w:cs="Arial"/>
          <w:sz w:val="24"/>
          <w:szCs w:val="24"/>
        </w:rPr>
        <w:t>Así mismo en lo que respecta a tomas de agua en operación para abastecimiento público, el municipio en 2012 contaba con 113 tomas en total, divididas en: 104 de pozo, 7 de manantial y 2 de otro</w:t>
      </w:r>
      <w:r w:rsidR="0006408C">
        <w:rPr>
          <w:rFonts w:ascii="Arial" w:hAnsi="Arial" w:cs="Arial"/>
          <w:sz w:val="24"/>
          <w:szCs w:val="24"/>
        </w:rPr>
        <w:t>s tipos.</w:t>
      </w:r>
    </w:p>
    <w:p w:rsidR="0006408C" w:rsidRDefault="0006408C" w:rsidP="00D5552C">
      <w:pPr>
        <w:spacing w:line="360" w:lineRule="auto"/>
        <w:jc w:val="both"/>
        <w:rPr>
          <w:rFonts w:ascii="Arial" w:hAnsi="Arial" w:cs="Arial"/>
          <w:sz w:val="24"/>
          <w:szCs w:val="24"/>
        </w:rPr>
      </w:pPr>
      <w:r>
        <w:rPr>
          <w:rFonts w:ascii="Arial" w:hAnsi="Arial" w:cs="Arial"/>
          <w:sz w:val="24"/>
          <w:szCs w:val="24"/>
        </w:rPr>
        <w:t xml:space="preserve">En lo que respecta al servicio de energía eléctrica, el municipio cuenta con 426,975 tomas, según cifras de la Comisión Federal de Electricidad en 2014, del total de </w:t>
      </w:r>
      <w:proofErr w:type="gramStart"/>
      <w:r>
        <w:rPr>
          <w:rFonts w:ascii="Arial" w:hAnsi="Arial" w:cs="Arial"/>
          <w:sz w:val="24"/>
          <w:szCs w:val="24"/>
        </w:rPr>
        <w:t>tomas señaladas</w:t>
      </w:r>
      <w:proofErr w:type="gramEnd"/>
      <w:r>
        <w:rPr>
          <w:rFonts w:ascii="Arial" w:hAnsi="Arial" w:cs="Arial"/>
          <w:sz w:val="24"/>
          <w:szCs w:val="24"/>
        </w:rPr>
        <w:t>, 424,533 son domiciliarias</w:t>
      </w:r>
      <w:r>
        <w:rPr>
          <w:rStyle w:val="Refdenotaalpie"/>
          <w:rFonts w:ascii="Arial" w:hAnsi="Arial" w:cs="Arial"/>
          <w:sz w:val="24"/>
          <w:szCs w:val="24"/>
        </w:rPr>
        <w:footnoteReference w:id="3"/>
      </w:r>
      <w:r>
        <w:rPr>
          <w:rFonts w:ascii="Arial" w:hAnsi="Arial" w:cs="Arial"/>
          <w:sz w:val="24"/>
          <w:szCs w:val="24"/>
        </w:rPr>
        <w:t>.</w:t>
      </w:r>
    </w:p>
    <w:p w:rsidR="0006408C" w:rsidRDefault="0006408C" w:rsidP="00D5552C">
      <w:pPr>
        <w:spacing w:line="360" w:lineRule="auto"/>
        <w:jc w:val="both"/>
        <w:rPr>
          <w:rFonts w:ascii="Arial" w:hAnsi="Arial" w:cs="Arial"/>
          <w:sz w:val="24"/>
          <w:szCs w:val="24"/>
        </w:rPr>
      </w:pPr>
      <w:r>
        <w:rPr>
          <w:rFonts w:ascii="Arial" w:hAnsi="Arial" w:cs="Arial"/>
          <w:sz w:val="24"/>
          <w:szCs w:val="24"/>
        </w:rPr>
        <w:t xml:space="preserve">En el municipio en 2010 se tienen registrados 243,271 personas con derechohabiencia a servicios de salud, de los cuáles 9,506 son </w:t>
      </w:r>
      <w:r w:rsidR="008A6F92">
        <w:rPr>
          <w:rFonts w:ascii="Arial" w:hAnsi="Arial" w:cs="Arial"/>
          <w:sz w:val="24"/>
          <w:szCs w:val="24"/>
        </w:rPr>
        <w:t>adscritos a</w:t>
      </w:r>
      <w:r>
        <w:rPr>
          <w:rFonts w:ascii="Arial" w:hAnsi="Arial" w:cs="Arial"/>
          <w:sz w:val="24"/>
          <w:szCs w:val="24"/>
        </w:rPr>
        <w:t xml:space="preserve"> PEMEX, SEDENA; 110,677 </w:t>
      </w:r>
      <w:r w:rsidR="008A6F92">
        <w:rPr>
          <w:rFonts w:ascii="Arial" w:hAnsi="Arial" w:cs="Arial"/>
          <w:sz w:val="24"/>
          <w:szCs w:val="24"/>
        </w:rPr>
        <w:t>a</w:t>
      </w:r>
      <w:r>
        <w:rPr>
          <w:rFonts w:ascii="Arial" w:hAnsi="Arial" w:cs="Arial"/>
          <w:sz w:val="24"/>
          <w:szCs w:val="24"/>
        </w:rPr>
        <w:t xml:space="preserve">l Seguro Popular o para una nueva Generación; 90,838 </w:t>
      </w:r>
      <w:r w:rsidR="008A6F92">
        <w:rPr>
          <w:rFonts w:ascii="Arial" w:hAnsi="Arial" w:cs="Arial"/>
          <w:sz w:val="24"/>
          <w:szCs w:val="24"/>
        </w:rPr>
        <w:t>a</w:t>
      </w:r>
      <w:r>
        <w:rPr>
          <w:rFonts w:ascii="Arial" w:hAnsi="Arial" w:cs="Arial"/>
          <w:sz w:val="24"/>
          <w:szCs w:val="24"/>
        </w:rPr>
        <w:t xml:space="preserve"> alguna </w:t>
      </w:r>
      <w:r w:rsidR="008D7DE0">
        <w:rPr>
          <w:rFonts w:ascii="Arial" w:hAnsi="Arial" w:cs="Arial"/>
          <w:sz w:val="24"/>
          <w:szCs w:val="24"/>
        </w:rPr>
        <w:t>institución privada</w:t>
      </w:r>
      <w:r>
        <w:rPr>
          <w:rFonts w:ascii="Arial" w:hAnsi="Arial" w:cs="Arial"/>
          <w:sz w:val="24"/>
          <w:szCs w:val="24"/>
        </w:rPr>
        <w:t xml:space="preserve">; 9,303 </w:t>
      </w:r>
      <w:r w:rsidR="008A6F92">
        <w:rPr>
          <w:rFonts w:ascii="Arial" w:hAnsi="Arial" w:cs="Arial"/>
          <w:sz w:val="24"/>
          <w:szCs w:val="24"/>
        </w:rPr>
        <w:t>a</w:t>
      </w:r>
      <w:r w:rsidR="008D7DE0">
        <w:rPr>
          <w:rFonts w:ascii="Arial" w:hAnsi="Arial" w:cs="Arial"/>
          <w:sz w:val="24"/>
          <w:szCs w:val="24"/>
        </w:rPr>
        <w:t xml:space="preserve"> otra institución y; 22,947 no identificados en alguna de las anteriores.</w:t>
      </w:r>
    </w:p>
    <w:p w:rsidR="00BE2E34" w:rsidRDefault="00BE2E34" w:rsidP="00D5552C">
      <w:pPr>
        <w:spacing w:line="360" w:lineRule="auto"/>
        <w:jc w:val="both"/>
        <w:rPr>
          <w:rFonts w:ascii="Arial" w:hAnsi="Arial" w:cs="Arial"/>
          <w:sz w:val="24"/>
          <w:szCs w:val="24"/>
        </w:rPr>
      </w:pPr>
      <w:r>
        <w:rPr>
          <w:rFonts w:ascii="Arial" w:hAnsi="Arial" w:cs="Arial"/>
          <w:sz w:val="24"/>
          <w:szCs w:val="24"/>
        </w:rPr>
        <w:lastRenderedPageBreak/>
        <w:t>Sin embargo</w:t>
      </w:r>
      <w:r w:rsidR="008A6F92">
        <w:rPr>
          <w:rFonts w:ascii="Arial" w:hAnsi="Arial" w:cs="Arial"/>
          <w:sz w:val="24"/>
          <w:szCs w:val="24"/>
        </w:rPr>
        <w:t>,</w:t>
      </w:r>
      <w:r>
        <w:rPr>
          <w:rFonts w:ascii="Arial" w:hAnsi="Arial" w:cs="Arial"/>
          <w:sz w:val="24"/>
          <w:szCs w:val="24"/>
        </w:rPr>
        <w:t xml:space="preserve"> </w:t>
      </w:r>
      <w:r w:rsidR="008A6F92">
        <w:rPr>
          <w:rFonts w:ascii="Arial" w:hAnsi="Arial" w:cs="Arial"/>
          <w:sz w:val="24"/>
          <w:szCs w:val="24"/>
        </w:rPr>
        <w:t xml:space="preserve">se registraron en </w:t>
      </w:r>
      <w:r>
        <w:rPr>
          <w:rFonts w:ascii="Arial" w:hAnsi="Arial" w:cs="Arial"/>
          <w:sz w:val="24"/>
          <w:szCs w:val="24"/>
        </w:rPr>
        <w:t xml:space="preserve"> 2014</w:t>
      </w:r>
      <w:r w:rsidR="008A6F92">
        <w:rPr>
          <w:rFonts w:ascii="Arial" w:hAnsi="Arial" w:cs="Arial"/>
          <w:sz w:val="24"/>
          <w:szCs w:val="24"/>
        </w:rPr>
        <w:t xml:space="preserve"> </w:t>
      </w:r>
      <w:r>
        <w:rPr>
          <w:rFonts w:ascii="Arial" w:hAnsi="Arial" w:cs="Arial"/>
          <w:sz w:val="24"/>
          <w:szCs w:val="24"/>
        </w:rPr>
        <w:t xml:space="preserve"> </w:t>
      </w:r>
      <w:r w:rsidR="008A6F92">
        <w:rPr>
          <w:rFonts w:ascii="Arial" w:hAnsi="Arial" w:cs="Arial"/>
          <w:sz w:val="24"/>
          <w:szCs w:val="24"/>
        </w:rPr>
        <w:t xml:space="preserve">995, 318 personas que usaron servicios de salud en Zapopan </w:t>
      </w:r>
      <w:r>
        <w:rPr>
          <w:rFonts w:ascii="Arial" w:hAnsi="Arial" w:cs="Arial"/>
          <w:sz w:val="24"/>
          <w:szCs w:val="24"/>
        </w:rPr>
        <w:t xml:space="preserve">de las cuales </w:t>
      </w:r>
      <w:r w:rsidR="008A6F92">
        <w:rPr>
          <w:rFonts w:ascii="Arial" w:hAnsi="Arial" w:cs="Arial"/>
          <w:sz w:val="24"/>
          <w:szCs w:val="24"/>
        </w:rPr>
        <w:t>508,710</w:t>
      </w:r>
      <w:r>
        <w:rPr>
          <w:rFonts w:ascii="Arial" w:hAnsi="Arial" w:cs="Arial"/>
          <w:sz w:val="24"/>
          <w:szCs w:val="24"/>
        </w:rPr>
        <w:t xml:space="preserve"> </w:t>
      </w:r>
      <w:r w:rsidR="008A6F92">
        <w:rPr>
          <w:rFonts w:ascii="Arial" w:hAnsi="Arial" w:cs="Arial"/>
          <w:sz w:val="24"/>
          <w:szCs w:val="24"/>
        </w:rPr>
        <w:t>fueron</w:t>
      </w:r>
      <w:r>
        <w:rPr>
          <w:rFonts w:ascii="Arial" w:hAnsi="Arial" w:cs="Arial"/>
          <w:sz w:val="24"/>
          <w:szCs w:val="24"/>
        </w:rPr>
        <w:t xml:space="preserve"> atendidas en el IMSS y </w:t>
      </w:r>
      <w:r w:rsidR="008A6F92">
        <w:rPr>
          <w:rFonts w:ascii="Arial" w:hAnsi="Arial" w:cs="Arial"/>
          <w:sz w:val="24"/>
          <w:szCs w:val="24"/>
        </w:rPr>
        <w:t xml:space="preserve">28,039 fueron atendidas por el ISSSTE; así mismo, </w:t>
      </w:r>
      <w:r>
        <w:rPr>
          <w:rFonts w:ascii="Arial" w:hAnsi="Arial" w:cs="Arial"/>
          <w:sz w:val="24"/>
          <w:szCs w:val="24"/>
        </w:rPr>
        <w:t xml:space="preserve">la Cruz Verde atendió a 220,174 personas; la Secretaría de Salud Jalisco a 214,081 personas; </w:t>
      </w:r>
      <w:r w:rsidR="008A6F92">
        <w:rPr>
          <w:rFonts w:ascii="Arial" w:hAnsi="Arial" w:cs="Arial"/>
          <w:sz w:val="24"/>
          <w:szCs w:val="24"/>
        </w:rPr>
        <w:t>el DIF a 8,555 personas y; el Hospital General de Zapopan a 15,759 personas.</w:t>
      </w:r>
    </w:p>
    <w:p w:rsidR="008A6F92" w:rsidRDefault="008A6F92" w:rsidP="00D5552C">
      <w:pPr>
        <w:spacing w:line="360" w:lineRule="auto"/>
        <w:jc w:val="both"/>
        <w:rPr>
          <w:rFonts w:ascii="Arial" w:hAnsi="Arial" w:cs="Arial"/>
          <w:sz w:val="24"/>
          <w:szCs w:val="24"/>
        </w:rPr>
      </w:pPr>
      <w:r>
        <w:rPr>
          <w:rFonts w:ascii="Arial" w:hAnsi="Arial" w:cs="Arial"/>
          <w:sz w:val="24"/>
          <w:szCs w:val="24"/>
        </w:rPr>
        <w:t>En el municipio de Zapopan al 31 de diciembre de 2014 se tienen registr</w:t>
      </w:r>
      <w:r w:rsidR="003D0E1D">
        <w:rPr>
          <w:rFonts w:ascii="Arial" w:hAnsi="Arial" w:cs="Arial"/>
          <w:sz w:val="24"/>
          <w:szCs w:val="24"/>
        </w:rPr>
        <w:t>ados 2,416 médicos, de los cuáles 396 adscritos al IMSS; 543 en el ISSSTE; en la SSJ existen adscritos 1,174; 144 en la Cruz Verde y 32 en el DIF; mientras que en el Hospital General de Zapopan se encuentran adscritos 127 médicos.</w:t>
      </w:r>
    </w:p>
    <w:p w:rsidR="003D0E1D" w:rsidRDefault="003D0E1D" w:rsidP="00D5552C">
      <w:pPr>
        <w:spacing w:line="360" w:lineRule="auto"/>
        <w:jc w:val="both"/>
        <w:rPr>
          <w:rFonts w:ascii="Arial" w:hAnsi="Arial" w:cs="Arial"/>
          <w:sz w:val="24"/>
          <w:szCs w:val="24"/>
        </w:rPr>
      </w:pPr>
      <w:r>
        <w:rPr>
          <w:rFonts w:ascii="Arial" w:hAnsi="Arial" w:cs="Arial"/>
          <w:sz w:val="24"/>
          <w:szCs w:val="24"/>
        </w:rPr>
        <w:t>El Hospital General de Zapopan de acuerdo a cifras de 2014 cuenta con: 26 camas censales, 20 camas no censales, 3 incubadoras, 35 consultorios, 3 áreas de urgencias, 1 laboratorio, 1 gabinete de radiología, 3 equipos de rayos X, 3 quirófanos, 2 salas de expulsión y, 1 farmacia. Así mismo, cabe destacar la ausencia de ambulancias, áreas de terapia intensiva y bancos de sangre.</w:t>
      </w:r>
    </w:p>
    <w:p w:rsidR="00460018" w:rsidRDefault="00460018" w:rsidP="00D5552C">
      <w:pPr>
        <w:spacing w:line="360" w:lineRule="auto"/>
        <w:jc w:val="both"/>
        <w:rPr>
          <w:rFonts w:ascii="Arial" w:hAnsi="Arial" w:cs="Arial"/>
          <w:sz w:val="24"/>
          <w:szCs w:val="24"/>
        </w:rPr>
      </w:pPr>
    </w:p>
    <w:p w:rsidR="003D0E1D" w:rsidRPr="00471F95" w:rsidRDefault="00471F95" w:rsidP="00471F95">
      <w:pPr>
        <w:pStyle w:val="Prrafodelista"/>
        <w:numPr>
          <w:ilvl w:val="0"/>
          <w:numId w:val="2"/>
        </w:numPr>
        <w:spacing w:line="360" w:lineRule="auto"/>
        <w:jc w:val="both"/>
        <w:rPr>
          <w:rFonts w:ascii="Arial" w:hAnsi="Arial" w:cs="Arial"/>
          <w:b/>
          <w:sz w:val="24"/>
          <w:szCs w:val="24"/>
        </w:rPr>
      </w:pPr>
      <w:r w:rsidRPr="00471F95">
        <w:rPr>
          <w:rFonts w:ascii="Arial" w:hAnsi="Arial" w:cs="Arial"/>
          <w:b/>
          <w:sz w:val="24"/>
          <w:szCs w:val="24"/>
        </w:rPr>
        <w:t>Cultura y Deporte</w:t>
      </w:r>
    </w:p>
    <w:p w:rsidR="00471F95" w:rsidRDefault="00471F95" w:rsidP="00471F95">
      <w:pPr>
        <w:spacing w:line="360" w:lineRule="auto"/>
        <w:jc w:val="both"/>
        <w:rPr>
          <w:rFonts w:ascii="Arial" w:hAnsi="Arial" w:cs="Arial"/>
          <w:sz w:val="24"/>
          <w:szCs w:val="24"/>
        </w:rPr>
      </w:pPr>
      <w:r>
        <w:rPr>
          <w:rFonts w:ascii="Arial" w:hAnsi="Arial" w:cs="Arial"/>
          <w:sz w:val="24"/>
          <w:szCs w:val="24"/>
        </w:rPr>
        <w:t>En Zapopan se cuenta con 19 bibliotecas públicas donde laboran 58 personas, se cuentan con 92,912 libros de 69,225 títulos diferentes, además se tienen registrados a 116,104 usuarios en 2014.</w:t>
      </w:r>
    </w:p>
    <w:p w:rsidR="00471F95" w:rsidRDefault="00471F95" w:rsidP="00471F95">
      <w:pPr>
        <w:spacing w:line="360" w:lineRule="auto"/>
        <w:jc w:val="both"/>
        <w:rPr>
          <w:rFonts w:ascii="Arial" w:hAnsi="Arial" w:cs="Arial"/>
          <w:sz w:val="24"/>
          <w:szCs w:val="24"/>
        </w:rPr>
      </w:pPr>
      <w:r>
        <w:rPr>
          <w:rFonts w:ascii="Arial" w:hAnsi="Arial" w:cs="Arial"/>
          <w:sz w:val="24"/>
          <w:szCs w:val="24"/>
        </w:rPr>
        <w:t>En lo que respecta a infraestructura deportiva se tienen habilitados en el municipio 2 albercas, 6 campos de beisbol, 75 campos de futbol, 56 canchas de basquetbol, 13 canchas de voleibol, 85 centros y unidades deportivas, 8 gimnasios y 1 pista de atletismo.</w:t>
      </w:r>
    </w:p>
    <w:p w:rsidR="00471F95" w:rsidRPr="00900E79" w:rsidRDefault="00471F95" w:rsidP="00471F95">
      <w:pPr>
        <w:pStyle w:val="Prrafodelista"/>
        <w:numPr>
          <w:ilvl w:val="0"/>
          <w:numId w:val="2"/>
        </w:numPr>
        <w:spacing w:line="360" w:lineRule="auto"/>
        <w:jc w:val="both"/>
        <w:rPr>
          <w:rFonts w:ascii="Arial" w:hAnsi="Arial" w:cs="Arial"/>
          <w:b/>
          <w:sz w:val="24"/>
          <w:szCs w:val="24"/>
        </w:rPr>
      </w:pPr>
      <w:r w:rsidRPr="00900E79">
        <w:rPr>
          <w:rFonts w:ascii="Arial" w:hAnsi="Arial" w:cs="Arial"/>
          <w:b/>
          <w:sz w:val="24"/>
          <w:szCs w:val="24"/>
        </w:rPr>
        <w:t>Seguridad y Justicia</w:t>
      </w:r>
    </w:p>
    <w:p w:rsidR="00471F95" w:rsidRDefault="00900E79" w:rsidP="00084D8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Pr>
          <w:rFonts w:ascii="Arial" w:hAnsi="Arial" w:cs="Arial"/>
          <w:sz w:val="24"/>
          <w:szCs w:val="24"/>
        </w:rPr>
        <w:t>En materia de Seguridad y Justicia, el municipio de Zapopan cuenta con 4 agencias del ministerio público del fuero común y 1 agencia del fuero Federal, las cuales cuentan con 2 y 4 agentes del ministerio público respectivamente.</w:t>
      </w:r>
    </w:p>
    <w:p w:rsidR="00900E79" w:rsidRPr="00086876" w:rsidRDefault="00086876" w:rsidP="00086876">
      <w:pPr>
        <w:pStyle w:val="Prrafodelista"/>
        <w:numPr>
          <w:ilvl w:val="0"/>
          <w:numId w:val="2"/>
        </w:numPr>
        <w:spacing w:line="360" w:lineRule="auto"/>
        <w:jc w:val="both"/>
        <w:rPr>
          <w:rFonts w:ascii="Arial" w:hAnsi="Arial" w:cs="Arial"/>
          <w:b/>
          <w:sz w:val="24"/>
          <w:szCs w:val="24"/>
        </w:rPr>
      </w:pPr>
      <w:r w:rsidRPr="00086876">
        <w:rPr>
          <w:rFonts w:ascii="Arial" w:hAnsi="Arial" w:cs="Arial"/>
          <w:b/>
          <w:sz w:val="24"/>
          <w:szCs w:val="24"/>
        </w:rPr>
        <w:lastRenderedPageBreak/>
        <w:t>Transporte y comunicaciones</w:t>
      </w:r>
    </w:p>
    <w:p w:rsidR="00086876" w:rsidRDefault="00086876" w:rsidP="00086876">
      <w:pPr>
        <w:spacing w:line="360" w:lineRule="auto"/>
        <w:jc w:val="both"/>
        <w:rPr>
          <w:rFonts w:ascii="Arial" w:hAnsi="Arial" w:cs="Arial"/>
          <w:sz w:val="24"/>
          <w:szCs w:val="24"/>
        </w:rPr>
      </w:pPr>
      <w:r>
        <w:rPr>
          <w:rFonts w:ascii="Arial" w:hAnsi="Arial" w:cs="Arial"/>
          <w:sz w:val="24"/>
          <w:szCs w:val="24"/>
        </w:rPr>
        <w:t>En cuanto a red carretera, el municipio cuenta con 182 kilómetros de ésta, de los cuáles 73 kilómetros son troncales federales pavimentadas, 49 alimentadoras estatales pavimentadas, 45 de caminos rurales pavimentadas y 15 con terracería.</w:t>
      </w:r>
    </w:p>
    <w:p w:rsidR="00086876" w:rsidRDefault="00086876" w:rsidP="00086876">
      <w:pPr>
        <w:spacing w:line="360" w:lineRule="auto"/>
        <w:jc w:val="both"/>
        <w:rPr>
          <w:rFonts w:ascii="Arial" w:hAnsi="Arial" w:cs="Arial"/>
          <w:sz w:val="24"/>
          <w:szCs w:val="24"/>
        </w:rPr>
      </w:pPr>
      <w:r>
        <w:rPr>
          <w:rFonts w:ascii="Arial" w:hAnsi="Arial" w:cs="Arial"/>
          <w:sz w:val="24"/>
          <w:szCs w:val="24"/>
        </w:rPr>
        <w:t>En lo que respecta a comunicación en espacios públicos bajo el programa México Conectado, el municipio consta de 13 sitios con banda ancha para conexión inalámbrica, distribuida en 3 localidades.</w:t>
      </w:r>
    </w:p>
    <w:p w:rsidR="00086876" w:rsidRDefault="00086876" w:rsidP="00086876">
      <w:pPr>
        <w:pStyle w:val="Prrafodelista"/>
        <w:numPr>
          <w:ilvl w:val="0"/>
          <w:numId w:val="2"/>
        </w:numPr>
        <w:spacing w:line="360" w:lineRule="auto"/>
        <w:jc w:val="both"/>
        <w:rPr>
          <w:rFonts w:ascii="Arial" w:hAnsi="Arial" w:cs="Arial"/>
          <w:b/>
          <w:sz w:val="24"/>
          <w:szCs w:val="24"/>
        </w:rPr>
      </w:pPr>
      <w:r w:rsidRPr="00086876">
        <w:rPr>
          <w:rFonts w:ascii="Arial" w:hAnsi="Arial" w:cs="Arial"/>
          <w:b/>
          <w:sz w:val="24"/>
          <w:szCs w:val="24"/>
        </w:rPr>
        <w:t>Indicadores de los Objetivos de Desarrollo del Milenio</w:t>
      </w:r>
    </w:p>
    <w:p w:rsidR="00645929" w:rsidRPr="00645929" w:rsidRDefault="00645929" w:rsidP="00645929">
      <w:pPr>
        <w:spacing w:line="360" w:lineRule="auto"/>
        <w:jc w:val="both"/>
        <w:rPr>
          <w:rFonts w:ascii="Arial" w:hAnsi="Arial" w:cs="Arial"/>
          <w:b/>
          <w:sz w:val="28"/>
          <w:szCs w:val="24"/>
        </w:rPr>
      </w:pPr>
      <w:r w:rsidRPr="00645929">
        <w:rPr>
          <w:rFonts w:ascii="Arial" w:hAnsi="Arial" w:cs="Arial"/>
          <w:sz w:val="24"/>
          <w:szCs w:val="23"/>
          <w:shd w:val="clear" w:color="auto" w:fill="FFFFFF"/>
        </w:rPr>
        <w:t>Los objetivos del milenio de Naciones Unidas, son metas encaminadas al mejoramiento de las condiciones sociales, al reconocimiento de los derechos de cada una de las personas existentes en el planeta, así como los derechos a la salud, la educación, la vivienda y la seguridad. Los Objetivos de Desarrollo del Milenio son ambiciosos pero realizables y, junto con el programa integral de las Naciones Unidas para el desarrollo, marcan el rumbo para los esfuerzos del mundo por aliviar la pobreza extrema para 2015; estas metas tienen como propósito: disminuir los indicadores de pobreza en todo el mundo, aumentar el acceso a la salud, vivienda, reducir la mortalidad en niños menores de cinco años, combatir el VIH/SIDA, garantizar la sostenibilidad del medio ambiente, promover la igualdad y el respeto entre géneros.</w:t>
      </w:r>
    </w:p>
    <w:tbl>
      <w:tblPr>
        <w:tblStyle w:val="Cuadrculamedia1-nfasis6"/>
        <w:tblW w:w="0" w:type="auto"/>
        <w:tblLook w:val="04A0"/>
      </w:tblPr>
      <w:tblGrid>
        <w:gridCol w:w="4489"/>
        <w:gridCol w:w="4489"/>
      </w:tblGrid>
      <w:tr w:rsidR="005804D4" w:rsidRPr="001A008F" w:rsidTr="005804D4">
        <w:trPr>
          <w:cnfStyle w:val="100000000000"/>
        </w:trPr>
        <w:tc>
          <w:tcPr>
            <w:cnfStyle w:val="001000000000"/>
            <w:tcW w:w="4489" w:type="dxa"/>
            <w:vAlign w:val="center"/>
          </w:tcPr>
          <w:p w:rsidR="005804D4" w:rsidRPr="001A008F" w:rsidRDefault="005804D4" w:rsidP="005804D4">
            <w:pPr>
              <w:spacing w:line="360" w:lineRule="auto"/>
              <w:jc w:val="center"/>
              <w:rPr>
                <w:rFonts w:ascii="Arial" w:hAnsi="Arial" w:cs="Arial"/>
                <w:sz w:val="18"/>
                <w:szCs w:val="20"/>
              </w:rPr>
            </w:pPr>
            <w:r w:rsidRPr="001A008F">
              <w:rPr>
                <w:rFonts w:ascii="Arial" w:hAnsi="Arial" w:cs="Arial"/>
                <w:sz w:val="18"/>
                <w:szCs w:val="20"/>
              </w:rPr>
              <w:t>Indicador</w:t>
            </w:r>
          </w:p>
        </w:tc>
        <w:tc>
          <w:tcPr>
            <w:tcW w:w="4489" w:type="dxa"/>
            <w:vAlign w:val="center"/>
          </w:tcPr>
          <w:p w:rsidR="005804D4" w:rsidRPr="001A008F" w:rsidRDefault="005804D4" w:rsidP="005804D4">
            <w:pPr>
              <w:spacing w:line="360" w:lineRule="auto"/>
              <w:jc w:val="center"/>
              <w:cnfStyle w:val="100000000000"/>
              <w:rPr>
                <w:rFonts w:ascii="Arial" w:hAnsi="Arial" w:cs="Arial"/>
                <w:sz w:val="18"/>
                <w:szCs w:val="20"/>
              </w:rPr>
            </w:pPr>
            <w:r w:rsidRPr="001A008F">
              <w:rPr>
                <w:rFonts w:ascii="Arial" w:hAnsi="Arial" w:cs="Arial"/>
                <w:sz w:val="18"/>
                <w:szCs w:val="20"/>
              </w:rPr>
              <w:t>Resultado</w:t>
            </w:r>
          </w:p>
        </w:tc>
      </w:tr>
      <w:tr w:rsidR="005804D4" w:rsidRPr="001A008F" w:rsidTr="005804D4">
        <w:trPr>
          <w:cnfStyle w:val="000000100000"/>
        </w:trPr>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Tasa neta de matriculación en la enseñanza primaria (6 a 11 años de edad) (Porcentaje)</w:t>
            </w:r>
          </w:p>
        </w:tc>
        <w:tc>
          <w:tcPr>
            <w:tcW w:w="4489" w:type="dxa"/>
            <w:vAlign w:val="center"/>
          </w:tcPr>
          <w:p w:rsidR="005804D4" w:rsidRPr="001A008F" w:rsidRDefault="005804D4" w:rsidP="005804D4">
            <w:pPr>
              <w:spacing w:line="360" w:lineRule="auto"/>
              <w:jc w:val="center"/>
              <w:cnfStyle w:val="000000100000"/>
              <w:rPr>
                <w:rFonts w:ascii="Arial" w:hAnsi="Arial" w:cs="Arial"/>
                <w:sz w:val="18"/>
                <w:szCs w:val="20"/>
              </w:rPr>
            </w:pPr>
            <w:r w:rsidRPr="001A008F">
              <w:rPr>
                <w:rFonts w:ascii="Arial" w:hAnsi="Arial" w:cs="Arial"/>
                <w:sz w:val="18"/>
                <w:szCs w:val="20"/>
              </w:rPr>
              <w:t>97.9</w:t>
            </w:r>
          </w:p>
        </w:tc>
      </w:tr>
      <w:tr w:rsidR="005804D4" w:rsidRPr="001A008F" w:rsidTr="005804D4">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Proporción de alumnos que comienzan el primer grado y llegan al último grado de enseñanza primaria (Porcentaje)</w:t>
            </w:r>
          </w:p>
        </w:tc>
        <w:tc>
          <w:tcPr>
            <w:tcW w:w="4489" w:type="dxa"/>
            <w:vAlign w:val="center"/>
          </w:tcPr>
          <w:p w:rsidR="005804D4" w:rsidRPr="001A008F" w:rsidRDefault="005804D4" w:rsidP="005804D4">
            <w:pPr>
              <w:spacing w:line="360" w:lineRule="auto"/>
              <w:jc w:val="center"/>
              <w:cnfStyle w:val="000000000000"/>
              <w:rPr>
                <w:rFonts w:ascii="Arial" w:hAnsi="Arial" w:cs="Arial"/>
                <w:sz w:val="18"/>
                <w:szCs w:val="20"/>
              </w:rPr>
            </w:pPr>
            <w:r w:rsidRPr="001A008F">
              <w:rPr>
                <w:rFonts w:ascii="Arial" w:hAnsi="Arial" w:cs="Arial"/>
                <w:sz w:val="18"/>
                <w:szCs w:val="20"/>
              </w:rPr>
              <w:t>93.9</w:t>
            </w:r>
          </w:p>
        </w:tc>
      </w:tr>
      <w:tr w:rsidR="005804D4" w:rsidRPr="001A008F" w:rsidTr="005804D4">
        <w:trPr>
          <w:cnfStyle w:val="000000100000"/>
        </w:trPr>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Razón entre niñas y niños en la enseñanza primaria (Mujeres por hombres)</w:t>
            </w:r>
          </w:p>
        </w:tc>
        <w:tc>
          <w:tcPr>
            <w:tcW w:w="4489" w:type="dxa"/>
            <w:vAlign w:val="center"/>
          </w:tcPr>
          <w:p w:rsidR="005804D4" w:rsidRPr="001A008F" w:rsidRDefault="005804D4" w:rsidP="005804D4">
            <w:pPr>
              <w:spacing w:line="360" w:lineRule="auto"/>
              <w:jc w:val="center"/>
              <w:cnfStyle w:val="000000100000"/>
              <w:rPr>
                <w:rFonts w:ascii="Arial" w:hAnsi="Arial" w:cs="Arial"/>
                <w:sz w:val="18"/>
                <w:szCs w:val="20"/>
              </w:rPr>
            </w:pPr>
            <w:r w:rsidRPr="001A008F">
              <w:rPr>
                <w:rFonts w:ascii="Arial" w:hAnsi="Arial" w:cs="Arial"/>
                <w:sz w:val="18"/>
                <w:szCs w:val="20"/>
              </w:rPr>
              <w:t>0.948</w:t>
            </w:r>
          </w:p>
        </w:tc>
      </w:tr>
      <w:tr w:rsidR="005804D4" w:rsidRPr="001A008F" w:rsidTr="005804D4">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Razón entre niñas y niños en la enseñanza secundaria (Mujeres por hombres)</w:t>
            </w:r>
          </w:p>
        </w:tc>
        <w:tc>
          <w:tcPr>
            <w:tcW w:w="4489" w:type="dxa"/>
            <w:vAlign w:val="center"/>
          </w:tcPr>
          <w:p w:rsidR="005804D4" w:rsidRPr="001A008F" w:rsidRDefault="005804D4" w:rsidP="005804D4">
            <w:pPr>
              <w:spacing w:line="360" w:lineRule="auto"/>
              <w:jc w:val="center"/>
              <w:cnfStyle w:val="000000000000"/>
              <w:rPr>
                <w:rFonts w:ascii="Arial" w:hAnsi="Arial" w:cs="Arial"/>
                <w:sz w:val="18"/>
                <w:szCs w:val="20"/>
              </w:rPr>
            </w:pPr>
            <w:r w:rsidRPr="001A008F">
              <w:rPr>
                <w:rFonts w:ascii="Arial" w:hAnsi="Arial" w:cs="Arial"/>
                <w:sz w:val="18"/>
                <w:szCs w:val="20"/>
              </w:rPr>
              <w:t>0.990</w:t>
            </w:r>
          </w:p>
        </w:tc>
      </w:tr>
      <w:tr w:rsidR="005804D4" w:rsidRPr="001A008F" w:rsidTr="005804D4">
        <w:trPr>
          <w:cnfStyle w:val="000000100000"/>
        </w:trPr>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Razón entre mujeres y hombres en la enseñanza media superior (Mujeres por hombres)</w:t>
            </w:r>
          </w:p>
        </w:tc>
        <w:tc>
          <w:tcPr>
            <w:tcW w:w="4489" w:type="dxa"/>
            <w:vAlign w:val="center"/>
          </w:tcPr>
          <w:p w:rsidR="005804D4" w:rsidRPr="001A008F" w:rsidRDefault="005804D4" w:rsidP="005804D4">
            <w:pPr>
              <w:spacing w:line="360" w:lineRule="auto"/>
              <w:jc w:val="center"/>
              <w:cnfStyle w:val="000000100000"/>
              <w:rPr>
                <w:rFonts w:ascii="Arial" w:hAnsi="Arial" w:cs="Arial"/>
                <w:sz w:val="18"/>
                <w:szCs w:val="20"/>
              </w:rPr>
            </w:pPr>
            <w:r w:rsidRPr="001A008F">
              <w:rPr>
                <w:rFonts w:ascii="Arial" w:hAnsi="Arial" w:cs="Arial"/>
                <w:sz w:val="18"/>
                <w:szCs w:val="20"/>
              </w:rPr>
              <w:t>0.967</w:t>
            </w:r>
          </w:p>
        </w:tc>
      </w:tr>
      <w:tr w:rsidR="005804D4" w:rsidRPr="001A008F" w:rsidTr="005804D4">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lastRenderedPageBreak/>
              <w:t>Proporción de la población con acceso sostenible a fuentes mejoradas de abastecimiento de agua, en zonas urbanas y rurales</w:t>
            </w:r>
          </w:p>
        </w:tc>
        <w:tc>
          <w:tcPr>
            <w:tcW w:w="4489" w:type="dxa"/>
            <w:vAlign w:val="center"/>
          </w:tcPr>
          <w:p w:rsidR="005804D4" w:rsidRPr="001A008F" w:rsidRDefault="005804D4" w:rsidP="005804D4">
            <w:pPr>
              <w:spacing w:line="360" w:lineRule="auto"/>
              <w:jc w:val="center"/>
              <w:cnfStyle w:val="000000000000"/>
              <w:rPr>
                <w:rFonts w:ascii="Arial" w:hAnsi="Arial" w:cs="Arial"/>
                <w:sz w:val="18"/>
                <w:szCs w:val="20"/>
              </w:rPr>
            </w:pPr>
            <w:r w:rsidRPr="001A008F">
              <w:rPr>
                <w:rFonts w:ascii="Arial" w:hAnsi="Arial" w:cs="Arial"/>
                <w:sz w:val="18"/>
                <w:szCs w:val="20"/>
              </w:rPr>
              <w:t>96.4</w:t>
            </w:r>
          </w:p>
        </w:tc>
      </w:tr>
      <w:tr w:rsidR="005804D4" w:rsidRPr="001A008F" w:rsidTr="005804D4">
        <w:trPr>
          <w:cnfStyle w:val="000000100000"/>
        </w:trPr>
        <w:tc>
          <w:tcPr>
            <w:cnfStyle w:val="001000000000"/>
            <w:tcW w:w="4489" w:type="dxa"/>
          </w:tcPr>
          <w:p w:rsidR="005804D4" w:rsidRPr="001A008F" w:rsidRDefault="005804D4" w:rsidP="00D5552C">
            <w:pPr>
              <w:spacing w:line="360" w:lineRule="auto"/>
              <w:jc w:val="both"/>
              <w:rPr>
                <w:rFonts w:ascii="Arial" w:hAnsi="Arial" w:cs="Arial"/>
                <w:sz w:val="18"/>
                <w:szCs w:val="20"/>
              </w:rPr>
            </w:pPr>
            <w:r w:rsidRPr="001A008F">
              <w:rPr>
                <w:rFonts w:ascii="Arial" w:hAnsi="Arial" w:cs="Arial"/>
                <w:sz w:val="18"/>
                <w:szCs w:val="20"/>
              </w:rPr>
              <w:t>Proporción de la población con acceso a servicios de saneamiento mejorados, en zonas urbanas y rurales</w:t>
            </w:r>
          </w:p>
        </w:tc>
        <w:tc>
          <w:tcPr>
            <w:tcW w:w="4489" w:type="dxa"/>
            <w:vAlign w:val="center"/>
          </w:tcPr>
          <w:p w:rsidR="005804D4" w:rsidRPr="001A008F" w:rsidRDefault="005804D4" w:rsidP="005804D4">
            <w:pPr>
              <w:spacing w:line="360" w:lineRule="auto"/>
              <w:jc w:val="center"/>
              <w:cnfStyle w:val="000000100000"/>
              <w:rPr>
                <w:rFonts w:ascii="Arial" w:hAnsi="Arial" w:cs="Arial"/>
                <w:sz w:val="18"/>
                <w:szCs w:val="20"/>
              </w:rPr>
            </w:pPr>
            <w:r w:rsidRPr="001A008F">
              <w:rPr>
                <w:rFonts w:ascii="Arial" w:hAnsi="Arial" w:cs="Arial"/>
                <w:sz w:val="18"/>
                <w:szCs w:val="20"/>
              </w:rPr>
              <w:t>98.3</w:t>
            </w:r>
          </w:p>
        </w:tc>
      </w:tr>
    </w:tbl>
    <w:p w:rsidR="00CA6D4F" w:rsidRPr="00031693" w:rsidRDefault="00031693" w:rsidP="00CA6D4F">
      <w:pPr>
        <w:pStyle w:val="Prrafodelista"/>
        <w:spacing w:line="360" w:lineRule="auto"/>
        <w:jc w:val="both"/>
        <w:rPr>
          <w:rFonts w:ascii="Arial" w:hAnsi="Arial" w:cs="Arial"/>
          <w:sz w:val="16"/>
          <w:szCs w:val="24"/>
        </w:rPr>
      </w:pPr>
      <w:r w:rsidRPr="00031693">
        <w:rPr>
          <w:rFonts w:ascii="Arial" w:hAnsi="Arial" w:cs="Arial"/>
          <w:sz w:val="16"/>
          <w:szCs w:val="24"/>
        </w:rPr>
        <w:t xml:space="preserve">Fuente: </w:t>
      </w:r>
      <w:r w:rsidR="00771FC0">
        <w:rPr>
          <w:rFonts w:ascii="Arial" w:hAnsi="Arial" w:cs="Arial"/>
          <w:sz w:val="16"/>
          <w:szCs w:val="24"/>
        </w:rPr>
        <w:t xml:space="preserve">Datos del municipios con indicadores del </w:t>
      </w:r>
      <w:r w:rsidRPr="00031693">
        <w:rPr>
          <w:rFonts w:ascii="Arial" w:hAnsi="Arial" w:cs="Arial"/>
          <w:sz w:val="16"/>
          <w:szCs w:val="24"/>
        </w:rPr>
        <w:t xml:space="preserve">Programa de Naciones Unidas para el Desarrollo. </w:t>
      </w:r>
    </w:p>
    <w:p w:rsidR="001A008F" w:rsidRDefault="001A008F" w:rsidP="00CA6D4F">
      <w:pPr>
        <w:pStyle w:val="Prrafodelista"/>
        <w:spacing w:line="360" w:lineRule="auto"/>
        <w:jc w:val="both"/>
        <w:rPr>
          <w:rFonts w:ascii="Arial" w:hAnsi="Arial" w:cs="Arial"/>
          <w:b/>
          <w:sz w:val="24"/>
          <w:szCs w:val="24"/>
        </w:rPr>
      </w:pPr>
    </w:p>
    <w:p w:rsidR="005804D4" w:rsidRPr="005804D4" w:rsidRDefault="005804D4" w:rsidP="005804D4">
      <w:pPr>
        <w:pStyle w:val="Prrafodelista"/>
        <w:numPr>
          <w:ilvl w:val="0"/>
          <w:numId w:val="2"/>
        </w:numPr>
        <w:spacing w:line="360" w:lineRule="auto"/>
        <w:jc w:val="both"/>
        <w:rPr>
          <w:rFonts w:ascii="Arial" w:hAnsi="Arial" w:cs="Arial"/>
          <w:b/>
          <w:sz w:val="24"/>
          <w:szCs w:val="24"/>
        </w:rPr>
      </w:pPr>
      <w:r w:rsidRPr="005804D4">
        <w:rPr>
          <w:rFonts w:ascii="Arial" w:hAnsi="Arial" w:cs="Arial"/>
          <w:b/>
          <w:sz w:val="24"/>
          <w:szCs w:val="24"/>
        </w:rPr>
        <w:t>Pobreza y Vulnerabilidad</w:t>
      </w:r>
    </w:p>
    <w:p w:rsidR="005804D4" w:rsidRPr="00645929" w:rsidRDefault="00645929" w:rsidP="005804D4">
      <w:pPr>
        <w:spacing w:line="360" w:lineRule="auto"/>
        <w:jc w:val="both"/>
        <w:rPr>
          <w:rFonts w:ascii="Arial" w:hAnsi="Arial" w:cs="Arial"/>
          <w:sz w:val="28"/>
          <w:szCs w:val="24"/>
        </w:rPr>
      </w:pPr>
      <w:r w:rsidRPr="00645929">
        <w:rPr>
          <w:rFonts w:ascii="Calibri" w:hAnsi="Calibri"/>
          <w:sz w:val="24"/>
          <w:szCs w:val="23"/>
          <w:shd w:val="clear" w:color="auto" w:fill="FFFFFF"/>
        </w:rPr>
        <w:t>EL Consejo Nacional de Ev</w:t>
      </w:r>
      <w:r w:rsidR="00084D88">
        <w:rPr>
          <w:rFonts w:ascii="Calibri" w:hAnsi="Calibri"/>
          <w:sz w:val="24"/>
          <w:szCs w:val="23"/>
          <w:shd w:val="clear" w:color="auto" w:fill="FFFFFF"/>
        </w:rPr>
        <w:t xml:space="preserve">aluación de la Política Social </w:t>
      </w:r>
      <w:r w:rsidRPr="00645929">
        <w:rPr>
          <w:rFonts w:ascii="Calibri" w:hAnsi="Calibri"/>
          <w:sz w:val="24"/>
          <w:szCs w:val="23"/>
          <w:shd w:val="clear" w:color="auto" w:fill="FFFFFF"/>
        </w:rPr>
        <w:t>(CONEVAL) tiene como objetivos medir la pobreza y el rezago social en sus diferentes dimensiones; dentro de sus metas sobresale el que la población no tenga carencias sociales y que su nivel de ingreso no sea bajo; de acuerdo a las estimaciones de esta institución, los indicadores de pobreza para el municipio de Zapopan, se localizan muy por debajo del rezago social, siendo que el 22.8% de la población total se encuentra en pobreza y el 2.2% en pobreza extrema.</w:t>
      </w:r>
      <w:bookmarkStart w:id="0" w:name="_GoBack"/>
      <w:bookmarkEnd w:id="0"/>
    </w:p>
    <w:tbl>
      <w:tblPr>
        <w:tblW w:w="9373" w:type="dxa"/>
        <w:tblInd w:w="55" w:type="dxa"/>
        <w:tblCellMar>
          <w:left w:w="70" w:type="dxa"/>
          <w:right w:w="70" w:type="dxa"/>
        </w:tblCellMar>
        <w:tblLook w:val="04A0"/>
      </w:tblPr>
      <w:tblGrid>
        <w:gridCol w:w="3680"/>
        <w:gridCol w:w="116"/>
        <w:gridCol w:w="1724"/>
        <w:gridCol w:w="637"/>
        <w:gridCol w:w="1263"/>
        <w:gridCol w:w="1600"/>
        <w:gridCol w:w="353"/>
      </w:tblGrid>
      <w:tr w:rsidR="007760EC" w:rsidRPr="00CA6D4F" w:rsidTr="00CA6D4F">
        <w:trPr>
          <w:trHeight w:val="243"/>
        </w:trPr>
        <w:tc>
          <w:tcPr>
            <w:tcW w:w="6157" w:type="dxa"/>
            <w:gridSpan w:val="4"/>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rsidR="007760EC" w:rsidRPr="00CA6D4F" w:rsidRDefault="007760EC" w:rsidP="00CA6D4F">
            <w:pPr>
              <w:pStyle w:val="Prrafodelista"/>
              <w:numPr>
                <w:ilvl w:val="0"/>
                <w:numId w:val="1"/>
              </w:numPr>
              <w:spacing w:after="0" w:line="240" w:lineRule="auto"/>
              <w:jc w:val="center"/>
              <w:rPr>
                <w:rFonts w:ascii="Arial" w:eastAsia="Times New Roman" w:hAnsi="Arial" w:cs="Arial"/>
                <w:b/>
                <w:bCs/>
                <w:color w:val="000000"/>
                <w:sz w:val="18"/>
                <w:lang w:eastAsia="es-MX"/>
              </w:rPr>
            </w:pPr>
            <w:r w:rsidRPr="00CA6D4F">
              <w:rPr>
                <w:rFonts w:ascii="Arial" w:eastAsia="Times New Roman" w:hAnsi="Arial" w:cs="Arial"/>
                <w:b/>
                <w:bCs/>
                <w:color w:val="000000"/>
                <w:sz w:val="18"/>
                <w:lang w:eastAsia="es-MX"/>
              </w:rPr>
              <w:t>INFORMACION MUNICIPAL</w:t>
            </w:r>
          </w:p>
          <w:p w:rsidR="007760EC" w:rsidRPr="00CA6D4F" w:rsidRDefault="007760EC" w:rsidP="00CA6D4F">
            <w:pPr>
              <w:spacing w:after="0" w:line="240" w:lineRule="auto"/>
              <w:jc w:val="center"/>
              <w:rPr>
                <w:rFonts w:ascii="Arial" w:eastAsia="Times New Roman" w:hAnsi="Arial" w:cs="Arial"/>
                <w:b/>
                <w:color w:val="000000"/>
                <w:sz w:val="18"/>
                <w:lang w:eastAsia="es-MX"/>
              </w:rPr>
            </w:pPr>
            <w:r w:rsidRPr="00CA6D4F">
              <w:rPr>
                <w:rFonts w:ascii="Arial" w:eastAsia="Times New Roman" w:hAnsi="Arial" w:cs="Arial"/>
                <w:b/>
                <w:color w:val="000000"/>
                <w:sz w:val="18"/>
                <w:lang w:eastAsia="es-MX"/>
              </w:rPr>
              <w:t>ZAPOPAN</w:t>
            </w:r>
          </w:p>
        </w:tc>
        <w:tc>
          <w:tcPr>
            <w:tcW w:w="3216" w:type="dxa"/>
            <w:gridSpan w:val="3"/>
            <w:tcBorders>
              <w:top w:val="nil"/>
              <w:left w:val="nil"/>
              <w:bottom w:val="nil"/>
              <w:right w:val="nil"/>
            </w:tcBorders>
            <w:shd w:val="clear" w:color="auto" w:fill="auto"/>
            <w:noWrap/>
            <w:vAlign w:val="center"/>
            <w:hideMark/>
          </w:tcPr>
          <w:p w:rsidR="007760EC" w:rsidRPr="00CA6D4F" w:rsidRDefault="007760EC" w:rsidP="00460A31">
            <w:pPr>
              <w:spacing w:after="0" w:line="360" w:lineRule="auto"/>
              <w:ind w:left="-46" w:firstLine="46"/>
              <w:jc w:val="center"/>
              <w:rPr>
                <w:rFonts w:ascii="Arial" w:eastAsia="Times New Roman" w:hAnsi="Arial" w:cs="Arial"/>
                <w:color w:val="000000"/>
                <w:sz w:val="18"/>
                <w:lang w:eastAsia="es-MX"/>
              </w:rPr>
            </w:pPr>
          </w:p>
        </w:tc>
      </w:tr>
      <w:tr w:rsidR="0052016D" w:rsidRPr="00CA6D4F" w:rsidTr="00CA6D4F">
        <w:trPr>
          <w:trHeight w:val="243"/>
        </w:trPr>
        <w:tc>
          <w:tcPr>
            <w:tcW w:w="3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Grado de rezago social</w:t>
            </w:r>
          </w:p>
        </w:tc>
        <w:tc>
          <w:tcPr>
            <w:tcW w:w="23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Muy Bajo</w:t>
            </w:r>
          </w:p>
        </w:tc>
        <w:tc>
          <w:tcPr>
            <w:tcW w:w="3216" w:type="dxa"/>
            <w:gridSpan w:val="3"/>
            <w:tcBorders>
              <w:top w:val="nil"/>
              <w:left w:val="nil"/>
              <w:bottom w:val="nil"/>
              <w:right w:val="nil"/>
            </w:tcBorders>
            <w:shd w:val="clear" w:color="auto" w:fill="auto"/>
            <w:noWrap/>
            <w:vAlign w:val="center"/>
            <w:hideMark/>
          </w:tcPr>
          <w:p w:rsidR="0052016D" w:rsidRPr="00CA6D4F" w:rsidRDefault="0052016D" w:rsidP="005804D4">
            <w:pPr>
              <w:spacing w:after="0" w:line="360" w:lineRule="auto"/>
              <w:jc w:val="center"/>
              <w:rPr>
                <w:rFonts w:ascii="Arial" w:eastAsia="Times New Roman" w:hAnsi="Arial" w:cs="Arial"/>
                <w:color w:val="000000"/>
                <w:sz w:val="18"/>
                <w:lang w:eastAsia="es-MX"/>
              </w:rPr>
            </w:pPr>
          </w:p>
        </w:tc>
      </w:tr>
      <w:tr w:rsidR="0052016D" w:rsidRPr="00CA6D4F" w:rsidTr="00CA6D4F">
        <w:trPr>
          <w:trHeight w:val="243"/>
        </w:trPr>
        <w:tc>
          <w:tcPr>
            <w:tcW w:w="3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Población Total</w:t>
            </w:r>
          </w:p>
        </w:tc>
        <w:tc>
          <w:tcPr>
            <w:tcW w:w="236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1,243,756</w:t>
            </w:r>
          </w:p>
        </w:tc>
        <w:tc>
          <w:tcPr>
            <w:tcW w:w="3216" w:type="dxa"/>
            <w:gridSpan w:val="3"/>
            <w:tcBorders>
              <w:top w:val="nil"/>
              <w:left w:val="nil"/>
              <w:bottom w:val="nil"/>
              <w:right w:val="nil"/>
            </w:tcBorders>
            <w:shd w:val="clear" w:color="auto" w:fill="auto"/>
            <w:noWrap/>
            <w:vAlign w:val="center"/>
            <w:hideMark/>
          </w:tcPr>
          <w:p w:rsidR="0052016D" w:rsidRPr="00CA6D4F" w:rsidRDefault="0052016D" w:rsidP="005804D4">
            <w:pPr>
              <w:spacing w:after="0" w:line="360" w:lineRule="auto"/>
              <w:jc w:val="center"/>
              <w:rPr>
                <w:rFonts w:ascii="Arial" w:eastAsia="Times New Roman" w:hAnsi="Arial" w:cs="Arial"/>
                <w:color w:val="000000"/>
                <w:sz w:val="18"/>
                <w:lang w:eastAsia="es-MX"/>
              </w:rPr>
            </w:pPr>
          </w:p>
        </w:tc>
      </w:tr>
      <w:tr w:rsidR="0052016D" w:rsidRPr="00CA6D4F" w:rsidTr="00CA6D4F">
        <w:trPr>
          <w:trHeight w:val="492"/>
        </w:trPr>
        <w:tc>
          <w:tcPr>
            <w:tcW w:w="3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Pobreza multidimensional</w:t>
            </w:r>
          </w:p>
        </w:tc>
        <w:tc>
          <w:tcPr>
            <w:tcW w:w="2361" w:type="dxa"/>
            <w:gridSpan w:val="2"/>
            <w:tcBorders>
              <w:top w:val="single" w:sz="4" w:space="0" w:color="auto"/>
              <w:left w:val="nil"/>
              <w:bottom w:val="single" w:sz="4" w:space="0" w:color="auto"/>
              <w:right w:val="single" w:sz="4" w:space="0" w:color="auto"/>
            </w:tcBorders>
            <w:shd w:val="clear" w:color="auto" w:fill="auto"/>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Porcentaje del total de población</w:t>
            </w:r>
          </w:p>
        </w:tc>
        <w:tc>
          <w:tcPr>
            <w:tcW w:w="3216" w:type="dxa"/>
            <w:gridSpan w:val="3"/>
            <w:tcBorders>
              <w:top w:val="single" w:sz="4" w:space="0" w:color="auto"/>
              <w:left w:val="nil"/>
              <w:bottom w:val="single" w:sz="4" w:space="0" w:color="auto"/>
              <w:right w:val="single" w:sz="4" w:space="0" w:color="auto"/>
            </w:tcBorders>
            <w:shd w:val="clear" w:color="auto" w:fill="auto"/>
            <w:vAlign w:val="center"/>
            <w:hideMark/>
          </w:tcPr>
          <w:p w:rsidR="0052016D" w:rsidRPr="00CA6D4F" w:rsidRDefault="0052016D" w:rsidP="005804D4">
            <w:pPr>
              <w:spacing w:after="0" w:line="36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Carencias promedio</w:t>
            </w:r>
          </w:p>
        </w:tc>
      </w:tr>
      <w:tr w:rsidR="0052016D" w:rsidRPr="00CA6D4F" w:rsidTr="00CA6D4F">
        <w:trPr>
          <w:trHeight w:val="486"/>
        </w:trPr>
        <w:tc>
          <w:tcPr>
            <w:tcW w:w="3796" w:type="dxa"/>
            <w:gridSpan w:val="2"/>
            <w:tcBorders>
              <w:top w:val="nil"/>
              <w:left w:val="single" w:sz="4" w:space="0" w:color="auto"/>
              <w:bottom w:val="single" w:sz="4" w:space="0" w:color="auto"/>
              <w:right w:val="single" w:sz="4" w:space="0" w:color="auto"/>
            </w:tcBorders>
            <w:shd w:val="clear" w:color="auto" w:fill="auto"/>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Población en situación de pobreza</w:t>
            </w:r>
          </w:p>
        </w:tc>
        <w:tc>
          <w:tcPr>
            <w:tcW w:w="2361" w:type="dxa"/>
            <w:gridSpan w:val="2"/>
            <w:tcBorders>
              <w:top w:val="nil"/>
              <w:left w:val="nil"/>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22.8</w:t>
            </w:r>
          </w:p>
        </w:tc>
        <w:tc>
          <w:tcPr>
            <w:tcW w:w="3216" w:type="dxa"/>
            <w:gridSpan w:val="3"/>
            <w:tcBorders>
              <w:top w:val="nil"/>
              <w:left w:val="nil"/>
              <w:bottom w:val="single" w:sz="4" w:space="0" w:color="auto"/>
              <w:right w:val="single" w:sz="4" w:space="0" w:color="auto"/>
            </w:tcBorders>
            <w:shd w:val="clear" w:color="auto" w:fill="auto"/>
            <w:noWrap/>
            <w:vAlign w:val="center"/>
            <w:hideMark/>
          </w:tcPr>
          <w:p w:rsidR="0052016D" w:rsidRPr="00CA6D4F" w:rsidRDefault="0052016D" w:rsidP="005804D4">
            <w:pPr>
              <w:spacing w:after="0" w:line="36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2.2</w:t>
            </w:r>
          </w:p>
        </w:tc>
      </w:tr>
      <w:tr w:rsidR="0052016D" w:rsidRPr="00CA6D4F" w:rsidTr="00CA6D4F">
        <w:trPr>
          <w:trHeight w:val="486"/>
        </w:trPr>
        <w:tc>
          <w:tcPr>
            <w:tcW w:w="3796" w:type="dxa"/>
            <w:gridSpan w:val="2"/>
            <w:tcBorders>
              <w:top w:val="nil"/>
              <w:left w:val="single" w:sz="4" w:space="0" w:color="auto"/>
              <w:bottom w:val="single" w:sz="4" w:space="0" w:color="auto"/>
              <w:right w:val="single" w:sz="4" w:space="0" w:color="auto"/>
            </w:tcBorders>
            <w:shd w:val="clear" w:color="auto" w:fill="auto"/>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Población en situación de pobreza extrema</w:t>
            </w:r>
          </w:p>
        </w:tc>
        <w:tc>
          <w:tcPr>
            <w:tcW w:w="2361" w:type="dxa"/>
            <w:gridSpan w:val="2"/>
            <w:tcBorders>
              <w:top w:val="nil"/>
              <w:left w:val="nil"/>
              <w:bottom w:val="single" w:sz="4" w:space="0" w:color="auto"/>
              <w:right w:val="single" w:sz="4" w:space="0" w:color="auto"/>
            </w:tcBorders>
            <w:shd w:val="clear" w:color="auto" w:fill="auto"/>
            <w:noWrap/>
            <w:vAlign w:val="center"/>
            <w:hideMark/>
          </w:tcPr>
          <w:p w:rsidR="0052016D" w:rsidRPr="00CA6D4F" w:rsidRDefault="0052016D" w:rsidP="00CA6D4F">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2.2</w:t>
            </w:r>
          </w:p>
        </w:tc>
        <w:tc>
          <w:tcPr>
            <w:tcW w:w="3216" w:type="dxa"/>
            <w:gridSpan w:val="3"/>
            <w:tcBorders>
              <w:top w:val="nil"/>
              <w:left w:val="nil"/>
              <w:bottom w:val="single" w:sz="4" w:space="0" w:color="auto"/>
              <w:right w:val="single" w:sz="4" w:space="0" w:color="auto"/>
            </w:tcBorders>
            <w:shd w:val="clear" w:color="auto" w:fill="auto"/>
            <w:noWrap/>
            <w:vAlign w:val="center"/>
            <w:hideMark/>
          </w:tcPr>
          <w:p w:rsidR="0052016D" w:rsidRPr="00CA6D4F" w:rsidRDefault="0052016D" w:rsidP="005804D4">
            <w:pPr>
              <w:spacing w:after="0" w:line="36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3.7</w:t>
            </w:r>
          </w:p>
        </w:tc>
      </w:tr>
      <w:tr w:rsidR="0052016D" w:rsidRPr="00CA6D4F" w:rsidTr="00CA6D4F">
        <w:trPr>
          <w:trHeight w:val="243"/>
        </w:trPr>
        <w:tc>
          <w:tcPr>
            <w:tcW w:w="9373" w:type="dxa"/>
            <w:gridSpan w:val="7"/>
            <w:tcBorders>
              <w:top w:val="nil"/>
              <w:left w:val="nil"/>
              <w:bottom w:val="nil"/>
              <w:right w:val="nil"/>
            </w:tcBorders>
            <w:shd w:val="clear" w:color="auto" w:fill="auto"/>
            <w:noWrap/>
            <w:vAlign w:val="center"/>
            <w:hideMark/>
          </w:tcPr>
          <w:p w:rsidR="00460018" w:rsidRDefault="00460018" w:rsidP="00CA6D4F">
            <w:pPr>
              <w:spacing w:after="0" w:line="240" w:lineRule="auto"/>
              <w:jc w:val="both"/>
              <w:rPr>
                <w:rFonts w:ascii="Arial" w:eastAsia="Times New Roman" w:hAnsi="Arial" w:cs="Arial"/>
                <w:color w:val="000000"/>
                <w:sz w:val="18"/>
                <w:lang w:eastAsia="es-MX"/>
              </w:rPr>
            </w:pPr>
          </w:p>
          <w:p w:rsidR="0052016D" w:rsidRDefault="0052016D" w:rsidP="00CA6D4F">
            <w:pPr>
              <w:spacing w:after="0" w:line="240" w:lineRule="auto"/>
              <w:jc w:val="both"/>
              <w:rPr>
                <w:rFonts w:ascii="Arial" w:eastAsia="Times New Roman" w:hAnsi="Arial" w:cs="Arial"/>
                <w:color w:val="000000"/>
                <w:sz w:val="18"/>
                <w:lang w:eastAsia="es-MX"/>
              </w:rPr>
            </w:pPr>
            <w:r w:rsidRPr="00CA6D4F">
              <w:rPr>
                <w:rFonts w:ascii="Arial" w:eastAsia="Times New Roman" w:hAnsi="Arial" w:cs="Arial"/>
                <w:color w:val="000000"/>
                <w:sz w:val="18"/>
                <w:lang w:eastAsia="es-MX"/>
              </w:rPr>
              <w:t>Fuente : Elaboración de SEDESOL con base en información de</w:t>
            </w:r>
            <w:r w:rsidR="005804D4" w:rsidRPr="00CA6D4F">
              <w:rPr>
                <w:rFonts w:ascii="Arial" w:eastAsia="Times New Roman" w:hAnsi="Arial" w:cs="Arial"/>
                <w:color w:val="000000"/>
                <w:sz w:val="18"/>
                <w:lang w:eastAsia="es-MX"/>
              </w:rPr>
              <w:t xml:space="preserve"> </w:t>
            </w:r>
            <w:r w:rsidRPr="00CA6D4F">
              <w:rPr>
                <w:rFonts w:ascii="Arial" w:eastAsia="Times New Roman" w:hAnsi="Arial" w:cs="Arial"/>
                <w:color w:val="000000"/>
                <w:sz w:val="18"/>
                <w:lang w:eastAsia="es-MX"/>
              </w:rPr>
              <w:t xml:space="preserve">INEGI </w:t>
            </w:r>
            <w:r w:rsidR="00E32BA4" w:rsidRPr="00CA6D4F">
              <w:rPr>
                <w:rFonts w:ascii="Arial" w:eastAsia="Times New Roman" w:hAnsi="Arial" w:cs="Arial"/>
                <w:color w:val="000000"/>
                <w:sz w:val="18"/>
                <w:lang w:eastAsia="es-MX"/>
              </w:rPr>
              <w:t>y</w:t>
            </w:r>
            <w:r w:rsidRPr="00CA6D4F">
              <w:rPr>
                <w:rFonts w:ascii="Arial" w:eastAsia="Times New Roman" w:hAnsi="Arial" w:cs="Arial"/>
                <w:color w:val="000000"/>
                <w:sz w:val="18"/>
                <w:lang w:eastAsia="es-MX"/>
              </w:rPr>
              <w:t xml:space="preserve"> CONEVAL</w:t>
            </w:r>
          </w:p>
          <w:p w:rsidR="00460018" w:rsidRDefault="00460018" w:rsidP="00CA6D4F">
            <w:pPr>
              <w:spacing w:after="0" w:line="240" w:lineRule="auto"/>
              <w:jc w:val="both"/>
              <w:rPr>
                <w:rFonts w:ascii="Arial" w:eastAsia="Times New Roman" w:hAnsi="Arial" w:cs="Arial"/>
                <w:color w:val="000000"/>
                <w:sz w:val="18"/>
                <w:lang w:eastAsia="es-MX"/>
              </w:rPr>
            </w:pPr>
          </w:p>
          <w:p w:rsidR="00460018" w:rsidRPr="00CA6D4F" w:rsidRDefault="00460018" w:rsidP="00CA6D4F">
            <w:pPr>
              <w:spacing w:after="0" w:line="240" w:lineRule="auto"/>
              <w:jc w:val="both"/>
              <w:rPr>
                <w:rFonts w:ascii="Arial" w:eastAsia="Times New Roman" w:hAnsi="Arial" w:cs="Arial"/>
                <w:color w:val="000000"/>
                <w:sz w:val="18"/>
                <w:lang w:eastAsia="es-MX"/>
              </w:rPr>
            </w:pPr>
          </w:p>
        </w:tc>
      </w:tr>
      <w:tr w:rsidR="007760EC" w:rsidRPr="00CA6D4F" w:rsidTr="00CA6D4F">
        <w:trPr>
          <w:gridAfter w:val="1"/>
          <w:wAfter w:w="353" w:type="dxa"/>
          <w:trHeight w:val="600"/>
        </w:trPr>
        <w:tc>
          <w:tcPr>
            <w:tcW w:w="9020" w:type="dxa"/>
            <w:gridSpan w:val="6"/>
            <w:tcBorders>
              <w:top w:val="single" w:sz="4" w:space="0" w:color="auto"/>
              <w:left w:val="single" w:sz="4" w:space="0" w:color="auto"/>
              <w:bottom w:val="single" w:sz="4" w:space="0" w:color="auto"/>
              <w:right w:val="single" w:sz="4" w:space="0" w:color="auto"/>
            </w:tcBorders>
            <w:shd w:val="clear" w:color="auto" w:fill="E36C0A" w:themeFill="accent6" w:themeFillShade="BF"/>
            <w:vAlign w:val="bottom"/>
            <w:hideMark/>
          </w:tcPr>
          <w:p w:rsidR="007760EC" w:rsidRPr="00CA6D4F" w:rsidRDefault="007760EC" w:rsidP="00460018">
            <w:pPr>
              <w:pStyle w:val="Prrafodelista"/>
              <w:numPr>
                <w:ilvl w:val="0"/>
                <w:numId w:val="1"/>
              </w:numPr>
              <w:spacing w:after="0" w:line="240" w:lineRule="auto"/>
              <w:jc w:val="both"/>
              <w:rPr>
                <w:rFonts w:ascii="Arial" w:eastAsia="Times New Roman" w:hAnsi="Arial" w:cs="Arial"/>
                <w:color w:val="000000"/>
                <w:sz w:val="18"/>
                <w:lang w:eastAsia="es-MX"/>
              </w:rPr>
            </w:pPr>
            <w:r w:rsidRPr="00CA6D4F">
              <w:rPr>
                <w:rFonts w:ascii="Arial" w:eastAsia="Times New Roman" w:hAnsi="Arial" w:cs="Arial"/>
                <w:b/>
                <w:bCs/>
                <w:color w:val="000000"/>
                <w:sz w:val="18"/>
                <w:lang w:eastAsia="es-MX"/>
              </w:rPr>
              <w:t>PRICIPALES AREAS DE COBERTURA DEL FAIS</w:t>
            </w:r>
          </w:p>
        </w:tc>
      </w:tr>
      <w:tr w:rsidR="007760EC" w:rsidRPr="00CA6D4F" w:rsidTr="00CA6D4F">
        <w:trPr>
          <w:gridAfter w:val="1"/>
          <w:wAfter w:w="353" w:type="dxa"/>
          <w:trHeight w:val="900"/>
        </w:trPr>
        <w:tc>
          <w:tcPr>
            <w:tcW w:w="3680"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Localidades con los dos mayores grados de rezago social  del municipio</w:t>
            </w:r>
          </w:p>
        </w:tc>
        <w:tc>
          <w:tcPr>
            <w:tcW w:w="184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Número</w:t>
            </w:r>
          </w:p>
        </w:tc>
        <w:tc>
          <w:tcPr>
            <w:tcW w:w="1900" w:type="dxa"/>
            <w:gridSpan w:val="2"/>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Población</w:t>
            </w:r>
          </w:p>
        </w:tc>
        <w:tc>
          <w:tcPr>
            <w:tcW w:w="160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Porcentaje del total de población</w:t>
            </w:r>
          </w:p>
        </w:tc>
      </w:tr>
      <w:tr w:rsidR="007760EC" w:rsidRPr="00CA6D4F" w:rsidTr="00CA6D4F">
        <w:trPr>
          <w:gridAfter w:val="1"/>
          <w:wAfter w:w="353" w:type="dxa"/>
          <w:trHeight w:val="3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t>Con Alto rezago social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5</w:t>
            </w:r>
          </w:p>
        </w:tc>
        <w:tc>
          <w:tcPr>
            <w:tcW w:w="190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183</w:t>
            </w:r>
          </w:p>
        </w:tc>
        <w:tc>
          <w:tcPr>
            <w:tcW w:w="1600" w:type="dxa"/>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0</w:t>
            </w:r>
          </w:p>
        </w:tc>
      </w:tr>
      <w:tr w:rsidR="007760EC" w:rsidRPr="00CA6D4F" w:rsidTr="00CA6D4F">
        <w:trPr>
          <w:gridAfter w:val="1"/>
          <w:wAfter w:w="353" w:type="dxa"/>
          <w:trHeight w:val="300"/>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t>Con Medio rezago social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18</w:t>
            </w:r>
          </w:p>
        </w:tc>
        <w:tc>
          <w:tcPr>
            <w:tcW w:w="190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614</w:t>
            </w:r>
          </w:p>
        </w:tc>
        <w:tc>
          <w:tcPr>
            <w:tcW w:w="1600" w:type="dxa"/>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0</w:t>
            </w:r>
          </w:p>
        </w:tc>
      </w:tr>
      <w:tr w:rsidR="007760EC" w:rsidRPr="00CA6D4F" w:rsidTr="00084D88">
        <w:trPr>
          <w:gridAfter w:val="1"/>
          <w:wAfter w:w="353" w:type="dxa"/>
          <w:trHeight w:val="939"/>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t>Zonas de Atención Prioritaria (ZAP) urbanas 2015 3,4,5</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Número</w:t>
            </w:r>
          </w:p>
        </w:tc>
        <w:tc>
          <w:tcPr>
            <w:tcW w:w="1900" w:type="dxa"/>
            <w:gridSpan w:val="2"/>
            <w:tcBorders>
              <w:top w:val="nil"/>
              <w:left w:val="nil"/>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Población</w:t>
            </w:r>
          </w:p>
        </w:tc>
        <w:tc>
          <w:tcPr>
            <w:tcW w:w="1600" w:type="dxa"/>
            <w:tcBorders>
              <w:top w:val="nil"/>
              <w:left w:val="nil"/>
              <w:bottom w:val="single" w:sz="4" w:space="0" w:color="auto"/>
              <w:right w:val="single" w:sz="4" w:space="0" w:color="auto"/>
            </w:tcBorders>
            <w:shd w:val="clear" w:color="auto" w:fill="auto"/>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Porcentaje del total de población</w:t>
            </w:r>
          </w:p>
        </w:tc>
      </w:tr>
      <w:tr w:rsidR="007760EC" w:rsidRPr="00CA6D4F" w:rsidTr="00084D88">
        <w:trPr>
          <w:gridAfter w:val="1"/>
          <w:wAfter w:w="353" w:type="dxa"/>
          <w:trHeight w:val="30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lastRenderedPageBreak/>
              <w:t>Con Bajo rezago social</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43</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144,600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11.6</w:t>
            </w:r>
          </w:p>
        </w:tc>
      </w:tr>
      <w:tr w:rsidR="007760EC" w:rsidRPr="00CA6D4F" w:rsidTr="00084D88">
        <w:trPr>
          <w:gridAfter w:val="1"/>
          <w:wAfter w:w="353" w:type="dxa"/>
          <w:trHeight w:val="30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t>Con Medio rezago social</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47</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63,926</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5.1</w:t>
            </w:r>
          </w:p>
        </w:tc>
      </w:tr>
      <w:tr w:rsidR="007760EC" w:rsidRPr="00CA6D4F" w:rsidTr="00084D88">
        <w:trPr>
          <w:gridAfter w:val="1"/>
          <w:wAfter w:w="353" w:type="dxa"/>
          <w:trHeight w:val="30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rPr>
                <w:rFonts w:ascii="Arial" w:eastAsia="Times New Roman" w:hAnsi="Arial" w:cs="Arial"/>
                <w:color w:val="000000"/>
                <w:sz w:val="18"/>
                <w:lang w:eastAsia="es-MX"/>
              </w:rPr>
            </w:pPr>
            <w:r w:rsidRPr="00CA6D4F">
              <w:rPr>
                <w:rFonts w:ascii="Arial" w:eastAsia="Times New Roman" w:hAnsi="Arial" w:cs="Arial"/>
                <w:color w:val="000000"/>
                <w:sz w:val="18"/>
                <w:lang w:eastAsia="es-MX"/>
              </w:rPr>
              <w:t>Con Alto rezago social</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8</w:t>
            </w:r>
          </w:p>
        </w:tc>
        <w:tc>
          <w:tcPr>
            <w:tcW w:w="1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2,608</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0EC" w:rsidRPr="00CA6D4F" w:rsidRDefault="007760EC" w:rsidP="00460018">
            <w:pPr>
              <w:spacing w:after="0" w:line="240" w:lineRule="auto"/>
              <w:jc w:val="center"/>
              <w:rPr>
                <w:rFonts w:ascii="Arial" w:eastAsia="Times New Roman" w:hAnsi="Arial" w:cs="Arial"/>
                <w:color w:val="000000"/>
                <w:sz w:val="18"/>
                <w:lang w:eastAsia="es-MX"/>
              </w:rPr>
            </w:pPr>
            <w:r w:rsidRPr="00CA6D4F">
              <w:rPr>
                <w:rFonts w:ascii="Arial" w:eastAsia="Times New Roman" w:hAnsi="Arial" w:cs="Arial"/>
                <w:color w:val="000000"/>
                <w:sz w:val="18"/>
                <w:lang w:eastAsia="es-MX"/>
              </w:rPr>
              <w:t>0.2</w:t>
            </w:r>
          </w:p>
        </w:tc>
      </w:tr>
      <w:tr w:rsidR="007760EC" w:rsidRPr="00CA6D4F" w:rsidTr="00084D88">
        <w:trPr>
          <w:gridAfter w:val="1"/>
          <w:wAfter w:w="353" w:type="dxa"/>
          <w:trHeight w:val="315"/>
        </w:trPr>
        <w:tc>
          <w:tcPr>
            <w:tcW w:w="7420" w:type="dxa"/>
            <w:gridSpan w:val="5"/>
            <w:tcBorders>
              <w:top w:val="single" w:sz="4" w:space="0" w:color="auto"/>
              <w:left w:val="nil"/>
              <w:bottom w:val="nil"/>
              <w:right w:val="nil"/>
            </w:tcBorders>
            <w:shd w:val="clear" w:color="auto" w:fill="auto"/>
            <w:noWrap/>
            <w:vAlign w:val="bottom"/>
            <w:hideMark/>
          </w:tcPr>
          <w:p w:rsidR="007760EC" w:rsidRPr="00CA6D4F" w:rsidRDefault="007760EC" w:rsidP="00460018">
            <w:pPr>
              <w:spacing w:after="0" w:line="240" w:lineRule="auto"/>
              <w:jc w:val="both"/>
              <w:rPr>
                <w:rFonts w:ascii="Arial" w:eastAsia="Times New Roman" w:hAnsi="Arial" w:cs="Arial"/>
                <w:color w:val="000000" w:themeColor="text1"/>
                <w:sz w:val="18"/>
                <w:lang w:eastAsia="es-MX"/>
              </w:rPr>
            </w:pPr>
            <w:r w:rsidRPr="00CA6D4F">
              <w:rPr>
                <w:rFonts w:ascii="Arial" w:eastAsia="Times New Roman" w:hAnsi="Arial" w:cs="Arial"/>
                <w:color w:val="000000" w:themeColor="text1"/>
                <w:sz w:val="18"/>
                <w:lang w:eastAsia="es-MX"/>
              </w:rPr>
              <w:t>La población que reside en localidades con los dos mayores grados de rezago social del municipio sumo 797 personas en 2010.</w:t>
            </w:r>
          </w:p>
        </w:tc>
        <w:tc>
          <w:tcPr>
            <w:tcW w:w="1600" w:type="dxa"/>
            <w:tcBorders>
              <w:top w:val="single" w:sz="4" w:space="0" w:color="auto"/>
              <w:left w:val="nil"/>
              <w:bottom w:val="nil"/>
              <w:right w:val="nil"/>
            </w:tcBorders>
            <w:shd w:val="clear" w:color="auto" w:fill="auto"/>
            <w:noWrap/>
            <w:vAlign w:val="bottom"/>
            <w:hideMark/>
          </w:tcPr>
          <w:p w:rsidR="007760EC" w:rsidRPr="00CA6D4F" w:rsidRDefault="007760EC" w:rsidP="00460018">
            <w:pPr>
              <w:spacing w:after="0" w:line="240" w:lineRule="auto"/>
              <w:jc w:val="both"/>
              <w:rPr>
                <w:rFonts w:ascii="Arial" w:eastAsia="Times New Roman" w:hAnsi="Arial" w:cs="Arial"/>
                <w:color w:val="000000" w:themeColor="text1"/>
                <w:sz w:val="18"/>
                <w:lang w:eastAsia="es-MX"/>
              </w:rPr>
            </w:pPr>
          </w:p>
        </w:tc>
      </w:tr>
    </w:tbl>
    <w:p w:rsidR="00333EBB" w:rsidRDefault="00333EBB" w:rsidP="008E4D50">
      <w:pPr>
        <w:spacing w:line="360" w:lineRule="auto"/>
        <w:jc w:val="both"/>
        <w:rPr>
          <w:rFonts w:ascii="Arial" w:hAnsi="Arial" w:cs="Arial"/>
          <w:sz w:val="24"/>
          <w:szCs w:val="24"/>
        </w:rPr>
      </w:pPr>
    </w:p>
    <w:tbl>
      <w:tblPr>
        <w:tblW w:w="9072" w:type="dxa"/>
        <w:tblInd w:w="70" w:type="dxa"/>
        <w:tblCellMar>
          <w:left w:w="70" w:type="dxa"/>
          <w:right w:w="70" w:type="dxa"/>
        </w:tblCellMar>
        <w:tblLook w:val="04A0"/>
      </w:tblPr>
      <w:tblGrid>
        <w:gridCol w:w="2699"/>
        <w:gridCol w:w="1851"/>
        <w:gridCol w:w="1912"/>
        <w:gridCol w:w="1610"/>
        <w:gridCol w:w="1000"/>
      </w:tblGrid>
      <w:tr w:rsidR="007760EC" w:rsidRPr="00A04FDE" w:rsidTr="00460018">
        <w:trPr>
          <w:trHeight w:val="554"/>
          <w:tblHeader/>
        </w:trPr>
        <w:tc>
          <w:tcPr>
            <w:tcW w:w="9072" w:type="dxa"/>
            <w:gridSpan w:val="5"/>
            <w:tcBorders>
              <w:top w:val="single" w:sz="4" w:space="0" w:color="auto"/>
              <w:left w:val="single" w:sz="4" w:space="0" w:color="auto"/>
              <w:bottom w:val="nil"/>
              <w:right w:val="single" w:sz="4" w:space="0" w:color="auto"/>
            </w:tcBorders>
            <w:shd w:val="clear" w:color="auto" w:fill="E36C0A" w:themeFill="accent6" w:themeFillShade="BF"/>
            <w:vAlign w:val="center"/>
            <w:hideMark/>
          </w:tcPr>
          <w:p w:rsidR="007760EC" w:rsidRPr="00A04FDE" w:rsidRDefault="007760EC"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b/>
                <w:bCs/>
                <w:color w:val="000000"/>
                <w:sz w:val="18"/>
                <w:lang w:eastAsia="es-MX"/>
              </w:rPr>
              <w:t>V. INDICADORES SOCIALES Y DEMOGRÁFICOS DEL MUNICIPIO</w:t>
            </w:r>
          </w:p>
        </w:tc>
      </w:tr>
      <w:tr w:rsidR="00E56016" w:rsidRPr="00A04FDE" w:rsidTr="00460018">
        <w:trPr>
          <w:trHeight w:val="727"/>
          <w:tblHeader/>
        </w:trPr>
        <w:tc>
          <w:tcPr>
            <w:tcW w:w="269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Indicador</w:t>
            </w:r>
          </w:p>
        </w:tc>
        <w:tc>
          <w:tcPr>
            <w:tcW w:w="1851"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Municipio</w:t>
            </w:r>
          </w:p>
        </w:tc>
        <w:tc>
          <w:tcPr>
            <w:tcW w:w="191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Localidades con los dos mayores grados de rezago social</w:t>
            </w:r>
          </w:p>
        </w:tc>
        <w:tc>
          <w:tcPr>
            <w:tcW w:w="161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ZAP urbanas</w:t>
            </w:r>
          </w:p>
        </w:tc>
        <w:tc>
          <w:tcPr>
            <w:tcW w:w="1000" w:type="dxa"/>
            <w:tcBorders>
              <w:top w:val="single" w:sz="4" w:space="0" w:color="auto"/>
              <w:left w:val="nil"/>
              <w:bottom w:val="single" w:sz="4" w:space="0" w:color="auto"/>
              <w:right w:val="single" w:sz="4" w:space="0" w:color="auto"/>
            </w:tcBorders>
            <w:shd w:val="clear" w:color="auto" w:fill="FABF8F" w:themeFill="accent6" w:themeFillTint="99"/>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AGEB urbanas</w:t>
            </w:r>
          </w:p>
        </w:tc>
      </w:tr>
      <w:tr w:rsidR="00E56016" w:rsidRPr="00A04FDE" w:rsidTr="00460018">
        <w:trPr>
          <w:trHeight w:val="27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Población femenina</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635,849</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387</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105,397</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625,478</w:t>
            </w:r>
          </w:p>
        </w:tc>
      </w:tr>
      <w:tr w:rsidR="00E56016" w:rsidRPr="00A04FDE" w:rsidTr="00460018">
        <w:trPr>
          <w:trHeight w:val="27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Población masculina</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607,907</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410</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105,737</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597,271</w:t>
            </w:r>
          </w:p>
        </w:tc>
      </w:tr>
      <w:tr w:rsidR="00E56016" w:rsidRPr="00A04FDE" w:rsidTr="00460018">
        <w:trPr>
          <w:trHeight w:val="55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Total de viviendas particulares habitadas</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311,046</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185</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44,483</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305,868</w:t>
            </w:r>
          </w:p>
        </w:tc>
      </w:tr>
      <w:tr w:rsidR="00E56016" w:rsidRPr="00A04FDE" w:rsidTr="00460018">
        <w:trPr>
          <w:trHeight w:val="55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Promedio de ocupantes en viviendas particulares habitadas</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3.9</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4.3</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5</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3.9</w:t>
            </w:r>
          </w:p>
        </w:tc>
      </w:tr>
      <w:tr w:rsidR="00E56016" w:rsidRPr="00A04FDE" w:rsidTr="00460018">
        <w:trPr>
          <w:trHeight w:val="27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Hogares con jefatura femenina</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78,032</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30</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8,869</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77,115</w:t>
            </w:r>
          </w:p>
        </w:tc>
      </w:tr>
      <w:tr w:rsidR="00E56016" w:rsidRPr="00A04FDE" w:rsidTr="00460018">
        <w:trPr>
          <w:trHeight w:val="55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Grado promedio de escolaridad de la población de 15 o más años</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10.4</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5.3</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7</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10.4</w:t>
            </w:r>
          </w:p>
        </w:tc>
      </w:tr>
      <w:tr w:rsidR="00E56016" w:rsidRPr="00A04FDE" w:rsidTr="00460018">
        <w:trPr>
          <w:trHeight w:val="55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Población de tres años o más hablante de lengua indígena</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12,498</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8</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3,867</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12,262</w:t>
            </w:r>
          </w:p>
        </w:tc>
      </w:tr>
      <w:tr w:rsidR="00E56016" w:rsidRPr="00A04FDE" w:rsidTr="00460018">
        <w:trPr>
          <w:trHeight w:val="277"/>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Población de 15 años o más analfabeta</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20,194</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59</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7,105</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19,539</w:t>
            </w:r>
          </w:p>
        </w:tc>
      </w:tr>
      <w:tr w:rsidR="00E56016" w:rsidRPr="00A04FDE" w:rsidTr="00460018">
        <w:trPr>
          <w:trHeight w:val="554"/>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Población sin derechohabiencia a servicios de salud</w:t>
            </w:r>
          </w:p>
        </w:tc>
        <w:tc>
          <w:tcPr>
            <w:tcW w:w="1851"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405,232</w:t>
            </w:r>
          </w:p>
        </w:tc>
        <w:tc>
          <w:tcPr>
            <w:tcW w:w="1912"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452</w:t>
            </w:r>
          </w:p>
        </w:tc>
        <w:tc>
          <w:tcPr>
            <w:tcW w:w="161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89,946</w:t>
            </w:r>
          </w:p>
        </w:tc>
        <w:tc>
          <w:tcPr>
            <w:tcW w:w="1000" w:type="dxa"/>
            <w:tcBorders>
              <w:top w:val="nil"/>
              <w:left w:val="nil"/>
              <w:bottom w:val="single" w:sz="4" w:space="0" w:color="auto"/>
              <w:right w:val="single" w:sz="4" w:space="0" w:color="auto"/>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r w:rsidRPr="00A04FDE">
              <w:rPr>
                <w:rFonts w:ascii="Arial" w:eastAsia="Times New Roman" w:hAnsi="Arial" w:cs="Arial"/>
                <w:color w:val="000000"/>
                <w:sz w:val="18"/>
                <w:lang w:eastAsia="es-MX"/>
              </w:rPr>
              <w:t>397,413</w:t>
            </w:r>
          </w:p>
        </w:tc>
      </w:tr>
      <w:tr w:rsidR="00E56016" w:rsidRPr="00A04FDE" w:rsidTr="00943893">
        <w:trPr>
          <w:trHeight w:val="277"/>
        </w:trPr>
        <w:tc>
          <w:tcPr>
            <w:tcW w:w="6462" w:type="dxa"/>
            <w:gridSpan w:val="3"/>
            <w:tcBorders>
              <w:top w:val="nil"/>
              <w:left w:val="nil"/>
              <w:bottom w:val="nil"/>
              <w:right w:val="nil"/>
            </w:tcBorders>
            <w:shd w:val="clear" w:color="auto" w:fill="auto"/>
            <w:noWrap/>
            <w:vAlign w:val="center"/>
            <w:hideMark/>
          </w:tcPr>
          <w:p w:rsidR="00E56016" w:rsidRPr="00943893" w:rsidRDefault="00E56016" w:rsidP="00943893">
            <w:pPr>
              <w:spacing w:after="0" w:line="240" w:lineRule="auto"/>
              <w:rPr>
                <w:rFonts w:ascii="Arial" w:eastAsia="Times New Roman" w:hAnsi="Arial" w:cs="Arial"/>
                <w:color w:val="000000"/>
                <w:sz w:val="16"/>
                <w:lang w:eastAsia="es-MX"/>
              </w:rPr>
            </w:pPr>
            <w:r w:rsidRPr="00943893">
              <w:rPr>
                <w:rFonts w:ascii="Arial" w:eastAsia="Times New Roman" w:hAnsi="Arial" w:cs="Arial"/>
                <w:color w:val="000000"/>
                <w:sz w:val="16"/>
                <w:lang w:eastAsia="es-MX"/>
              </w:rPr>
              <w:t>Fuente: Elaboración de SEDESOL con base en información del INEGI y</w:t>
            </w:r>
            <w:r w:rsidR="00943893" w:rsidRPr="00943893">
              <w:rPr>
                <w:rFonts w:ascii="Arial" w:eastAsia="Times New Roman" w:hAnsi="Arial" w:cs="Arial"/>
                <w:color w:val="000000"/>
                <w:sz w:val="16"/>
                <w:lang w:eastAsia="es-MX"/>
              </w:rPr>
              <w:t xml:space="preserve"> </w:t>
            </w:r>
            <w:r w:rsidRPr="00943893">
              <w:rPr>
                <w:rFonts w:ascii="Arial" w:eastAsia="Times New Roman" w:hAnsi="Arial" w:cs="Arial"/>
                <w:color w:val="000000"/>
                <w:sz w:val="16"/>
                <w:lang w:eastAsia="es-MX"/>
              </w:rPr>
              <w:t>CONEVAL</w:t>
            </w:r>
          </w:p>
          <w:p w:rsidR="00A04FDE" w:rsidRPr="00A04FDE" w:rsidRDefault="00A04FDE" w:rsidP="00460018">
            <w:pPr>
              <w:spacing w:after="0" w:line="240" w:lineRule="auto"/>
              <w:jc w:val="center"/>
              <w:rPr>
                <w:rFonts w:ascii="Arial" w:eastAsia="Times New Roman" w:hAnsi="Arial" w:cs="Arial"/>
                <w:color w:val="000000"/>
                <w:sz w:val="18"/>
                <w:lang w:eastAsia="es-MX"/>
              </w:rPr>
            </w:pPr>
          </w:p>
        </w:tc>
        <w:tc>
          <w:tcPr>
            <w:tcW w:w="1610" w:type="dxa"/>
            <w:tcBorders>
              <w:top w:val="nil"/>
              <w:left w:val="nil"/>
              <w:bottom w:val="nil"/>
              <w:right w:val="nil"/>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p>
        </w:tc>
        <w:tc>
          <w:tcPr>
            <w:tcW w:w="1000" w:type="dxa"/>
            <w:tcBorders>
              <w:top w:val="nil"/>
              <w:left w:val="nil"/>
              <w:bottom w:val="nil"/>
              <w:right w:val="nil"/>
            </w:tcBorders>
            <w:shd w:val="clear" w:color="auto" w:fill="auto"/>
            <w:noWrap/>
            <w:vAlign w:val="center"/>
            <w:hideMark/>
          </w:tcPr>
          <w:p w:rsidR="00E56016" w:rsidRPr="00A04FDE" w:rsidRDefault="00E56016" w:rsidP="00460018">
            <w:pPr>
              <w:spacing w:after="0" w:line="240" w:lineRule="auto"/>
              <w:jc w:val="center"/>
              <w:rPr>
                <w:rFonts w:ascii="Arial" w:eastAsia="Times New Roman" w:hAnsi="Arial" w:cs="Arial"/>
                <w:color w:val="000000"/>
                <w:sz w:val="18"/>
                <w:lang w:eastAsia="es-MX"/>
              </w:rPr>
            </w:pPr>
          </w:p>
        </w:tc>
      </w:tr>
    </w:tbl>
    <w:p w:rsidR="003071CF" w:rsidRDefault="00E32BA4" w:rsidP="008E4D50">
      <w:pPr>
        <w:spacing w:line="360" w:lineRule="auto"/>
        <w:jc w:val="both"/>
        <w:rPr>
          <w:rFonts w:ascii="Arial" w:hAnsi="Arial" w:cs="Arial"/>
          <w:sz w:val="24"/>
          <w:szCs w:val="24"/>
        </w:rPr>
      </w:pPr>
      <w:r>
        <w:rPr>
          <w:rFonts w:ascii="Arial" w:hAnsi="Arial" w:cs="Arial"/>
          <w:sz w:val="24"/>
          <w:szCs w:val="24"/>
        </w:rPr>
        <w:t>En 2010</w:t>
      </w:r>
      <w:r w:rsidR="00BD438C">
        <w:rPr>
          <w:rFonts w:ascii="Arial" w:hAnsi="Arial" w:cs="Arial"/>
          <w:sz w:val="24"/>
          <w:szCs w:val="24"/>
        </w:rPr>
        <w:t xml:space="preserve">, el promedio de </w:t>
      </w:r>
      <w:r w:rsidR="008C4BBD">
        <w:rPr>
          <w:rFonts w:ascii="Arial" w:hAnsi="Arial" w:cs="Arial"/>
          <w:sz w:val="24"/>
          <w:szCs w:val="24"/>
        </w:rPr>
        <w:t>escolaridad</w:t>
      </w:r>
      <w:r w:rsidR="00BD438C">
        <w:rPr>
          <w:rFonts w:ascii="Arial" w:hAnsi="Arial" w:cs="Arial"/>
          <w:sz w:val="24"/>
          <w:szCs w:val="24"/>
        </w:rPr>
        <w:t xml:space="preserve"> de la </w:t>
      </w:r>
      <w:r w:rsidR="008C4BBD">
        <w:rPr>
          <w:rFonts w:ascii="Arial" w:hAnsi="Arial" w:cs="Arial"/>
          <w:sz w:val="24"/>
          <w:szCs w:val="24"/>
        </w:rPr>
        <w:t xml:space="preserve">población de 15 años o </w:t>
      </w:r>
      <w:r w:rsidR="00147423">
        <w:rPr>
          <w:rFonts w:ascii="Arial" w:hAnsi="Arial" w:cs="Arial"/>
          <w:sz w:val="24"/>
          <w:szCs w:val="24"/>
        </w:rPr>
        <w:t>más</w:t>
      </w:r>
      <w:r w:rsidR="008C4BBD">
        <w:rPr>
          <w:rFonts w:ascii="Arial" w:hAnsi="Arial" w:cs="Arial"/>
          <w:sz w:val="24"/>
          <w:szCs w:val="24"/>
        </w:rPr>
        <w:t xml:space="preserve"> en el municipio fue de 1</w:t>
      </w:r>
      <w:r w:rsidR="00147423">
        <w:rPr>
          <w:rFonts w:ascii="Arial" w:hAnsi="Arial" w:cs="Arial"/>
          <w:sz w:val="24"/>
          <w:szCs w:val="24"/>
        </w:rPr>
        <w:t xml:space="preserve">0.4, en </w:t>
      </w:r>
      <w:r w:rsidR="00943893">
        <w:rPr>
          <w:rFonts w:ascii="Arial" w:hAnsi="Arial" w:cs="Arial"/>
          <w:sz w:val="24"/>
          <w:szCs w:val="24"/>
        </w:rPr>
        <w:t>las Zonas de Atención Prioritaria (</w:t>
      </w:r>
      <w:r w:rsidR="00147423">
        <w:rPr>
          <w:rFonts w:ascii="Arial" w:hAnsi="Arial" w:cs="Arial"/>
          <w:sz w:val="24"/>
          <w:szCs w:val="24"/>
        </w:rPr>
        <w:t>ZAP</w:t>
      </w:r>
      <w:r w:rsidR="00943893">
        <w:rPr>
          <w:rFonts w:ascii="Arial" w:hAnsi="Arial" w:cs="Arial"/>
          <w:sz w:val="24"/>
          <w:szCs w:val="24"/>
        </w:rPr>
        <w:t>)</w:t>
      </w:r>
      <w:r w:rsidR="00147423">
        <w:rPr>
          <w:rFonts w:ascii="Arial" w:hAnsi="Arial" w:cs="Arial"/>
          <w:sz w:val="24"/>
          <w:szCs w:val="24"/>
        </w:rPr>
        <w:t xml:space="preserve"> urbanas fue de 7</w:t>
      </w:r>
      <w:r w:rsidR="008C4BBD">
        <w:rPr>
          <w:rFonts w:ascii="Arial" w:hAnsi="Arial" w:cs="Arial"/>
          <w:sz w:val="24"/>
          <w:szCs w:val="24"/>
        </w:rPr>
        <w:t xml:space="preserve"> y en las localidades con los dos mayores grados de rezago social del municipio de</w:t>
      </w:r>
      <w:r>
        <w:rPr>
          <w:rFonts w:ascii="Arial" w:hAnsi="Arial" w:cs="Arial"/>
          <w:sz w:val="24"/>
          <w:szCs w:val="24"/>
        </w:rPr>
        <w:t xml:space="preserve"> </w:t>
      </w:r>
      <w:r w:rsidR="008C4BBD">
        <w:rPr>
          <w:rFonts w:ascii="Arial" w:hAnsi="Arial" w:cs="Arial"/>
          <w:sz w:val="24"/>
          <w:szCs w:val="24"/>
        </w:rPr>
        <w:t>5.0</w:t>
      </w:r>
      <w:r w:rsidR="00A04FDE">
        <w:rPr>
          <w:rFonts w:ascii="Arial" w:hAnsi="Arial" w:cs="Arial"/>
          <w:sz w:val="24"/>
          <w:szCs w:val="24"/>
        </w:rPr>
        <w:t>.</w:t>
      </w:r>
    </w:p>
    <w:p w:rsidR="008C4BBD" w:rsidRDefault="008C4BBD" w:rsidP="008E4D50">
      <w:pPr>
        <w:spacing w:line="360" w:lineRule="auto"/>
        <w:jc w:val="both"/>
        <w:rPr>
          <w:rFonts w:ascii="Arial" w:hAnsi="Arial" w:cs="Arial"/>
          <w:sz w:val="24"/>
          <w:szCs w:val="24"/>
        </w:rPr>
      </w:pPr>
      <w:r>
        <w:rPr>
          <w:rFonts w:ascii="Arial" w:hAnsi="Arial" w:cs="Arial"/>
          <w:sz w:val="24"/>
          <w:szCs w:val="24"/>
        </w:rPr>
        <w:t xml:space="preserve">La población de 15 años o más </w:t>
      </w:r>
      <w:r w:rsidR="00E32BA4">
        <w:rPr>
          <w:rFonts w:ascii="Arial" w:hAnsi="Arial" w:cs="Arial"/>
          <w:sz w:val="24"/>
          <w:szCs w:val="24"/>
        </w:rPr>
        <w:t>analfabeta a</w:t>
      </w:r>
      <w:r>
        <w:rPr>
          <w:rFonts w:ascii="Arial" w:hAnsi="Arial" w:cs="Arial"/>
          <w:sz w:val="24"/>
          <w:szCs w:val="24"/>
        </w:rPr>
        <w:t>scendió a 20,194 personas, de las cuales</w:t>
      </w:r>
      <w:r w:rsidR="00E32BA4">
        <w:rPr>
          <w:rFonts w:ascii="Arial" w:hAnsi="Arial" w:cs="Arial"/>
          <w:sz w:val="24"/>
          <w:szCs w:val="24"/>
        </w:rPr>
        <w:t xml:space="preserve">, 35.2% residía </w:t>
      </w:r>
      <w:r>
        <w:rPr>
          <w:rFonts w:ascii="Arial" w:hAnsi="Arial" w:cs="Arial"/>
          <w:sz w:val="24"/>
          <w:szCs w:val="24"/>
        </w:rPr>
        <w:t>en las ZAP urbanas y el 0.3</w:t>
      </w:r>
      <w:r w:rsidR="00E32BA4">
        <w:rPr>
          <w:rFonts w:ascii="Arial" w:hAnsi="Arial" w:cs="Arial"/>
          <w:sz w:val="24"/>
          <w:szCs w:val="24"/>
        </w:rPr>
        <w:t xml:space="preserve">% en las localidades </w:t>
      </w:r>
      <w:r>
        <w:rPr>
          <w:rFonts w:ascii="Arial" w:hAnsi="Arial" w:cs="Arial"/>
          <w:sz w:val="24"/>
          <w:szCs w:val="24"/>
        </w:rPr>
        <w:t xml:space="preserve">con los dos mayores </w:t>
      </w:r>
      <w:r w:rsidR="00E32BA4">
        <w:rPr>
          <w:rFonts w:ascii="Arial" w:hAnsi="Arial" w:cs="Arial"/>
          <w:sz w:val="24"/>
          <w:szCs w:val="24"/>
        </w:rPr>
        <w:t xml:space="preserve">grados </w:t>
      </w:r>
      <w:r>
        <w:rPr>
          <w:rFonts w:ascii="Arial" w:hAnsi="Arial" w:cs="Arial"/>
          <w:sz w:val="24"/>
          <w:szCs w:val="24"/>
        </w:rPr>
        <w:t>de rezago social del municipio.</w:t>
      </w:r>
    </w:p>
    <w:p w:rsidR="001A008F" w:rsidRDefault="001A008F" w:rsidP="008E4D50">
      <w:pPr>
        <w:spacing w:line="360" w:lineRule="auto"/>
        <w:jc w:val="both"/>
        <w:rPr>
          <w:rFonts w:ascii="Arial" w:hAnsi="Arial" w:cs="Arial"/>
          <w:sz w:val="24"/>
          <w:szCs w:val="24"/>
        </w:rPr>
      </w:pPr>
    </w:p>
    <w:p w:rsidR="001A008F" w:rsidRDefault="001A008F" w:rsidP="008E4D50">
      <w:pPr>
        <w:spacing w:line="360" w:lineRule="auto"/>
        <w:jc w:val="both"/>
        <w:rPr>
          <w:rFonts w:ascii="Arial" w:hAnsi="Arial" w:cs="Arial"/>
          <w:sz w:val="24"/>
          <w:szCs w:val="24"/>
        </w:rPr>
      </w:pPr>
    </w:p>
    <w:p w:rsidR="001A008F" w:rsidRDefault="001A008F" w:rsidP="008E4D50">
      <w:pPr>
        <w:spacing w:line="360" w:lineRule="auto"/>
        <w:jc w:val="both"/>
        <w:rPr>
          <w:rFonts w:ascii="Arial" w:hAnsi="Arial" w:cs="Arial"/>
          <w:sz w:val="24"/>
          <w:szCs w:val="24"/>
        </w:rPr>
      </w:pPr>
    </w:p>
    <w:p w:rsidR="001A008F" w:rsidRDefault="001A008F" w:rsidP="008E4D50">
      <w:pPr>
        <w:spacing w:line="360" w:lineRule="auto"/>
        <w:jc w:val="both"/>
        <w:rPr>
          <w:rFonts w:ascii="Arial" w:hAnsi="Arial" w:cs="Arial"/>
          <w:sz w:val="24"/>
          <w:szCs w:val="24"/>
        </w:rPr>
      </w:pPr>
    </w:p>
    <w:p w:rsidR="007760EC" w:rsidRPr="007760EC" w:rsidRDefault="007760EC" w:rsidP="007760EC">
      <w:pPr>
        <w:pStyle w:val="Prrafodelista"/>
        <w:numPr>
          <w:ilvl w:val="0"/>
          <w:numId w:val="2"/>
        </w:numPr>
        <w:spacing w:line="360" w:lineRule="auto"/>
        <w:jc w:val="both"/>
        <w:rPr>
          <w:rFonts w:ascii="Arial" w:hAnsi="Arial" w:cs="Arial"/>
          <w:b/>
          <w:sz w:val="24"/>
          <w:szCs w:val="24"/>
        </w:rPr>
      </w:pPr>
      <w:r w:rsidRPr="007760EC">
        <w:rPr>
          <w:rFonts w:ascii="Arial" w:hAnsi="Arial" w:cs="Arial"/>
          <w:b/>
          <w:sz w:val="24"/>
          <w:szCs w:val="24"/>
        </w:rPr>
        <w:t xml:space="preserve"> Políticas de Gasto</w:t>
      </w:r>
      <w:r w:rsidR="008006A3">
        <w:rPr>
          <w:rFonts w:ascii="Arial" w:hAnsi="Arial" w:cs="Arial"/>
          <w:b/>
          <w:sz w:val="24"/>
          <w:szCs w:val="24"/>
        </w:rPr>
        <w:t xml:space="preserve"> prioritarias </w:t>
      </w:r>
    </w:p>
    <w:p w:rsidR="007760EC" w:rsidRDefault="007760EC" w:rsidP="007760EC">
      <w:pPr>
        <w:spacing w:line="360" w:lineRule="auto"/>
        <w:jc w:val="both"/>
        <w:rPr>
          <w:rFonts w:ascii="Arial" w:hAnsi="Arial" w:cs="Arial"/>
          <w:sz w:val="24"/>
          <w:szCs w:val="24"/>
        </w:rPr>
      </w:pPr>
      <w:r>
        <w:rPr>
          <w:rFonts w:ascii="Arial" w:hAnsi="Arial" w:cs="Arial"/>
          <w:sz w:val="24"/>
          <w:szCs w:val="24"/>
        </w:rPr>
        <w:t xml:space="preserve">Derivado de la información anterior, se presenta un presupuesto dirigido a combatir los rezagos sociales, mejorar el entorno económico y familiar, garantizar una mejora en la percepción en materia de seguridad pública y acceso a mejor infraestructura de movilidad, salud, deportiva y cultural, por lo cual las políticas de gasto del presupuesto actual están dirigidos a 4 </w:t>
      </w:r>
      <w:r w:rsidR="007003BD">
        <w:rPr>
          <w:rFonts w:ascii="Arial" w:hAnsi="Arial" w:cs="Arial"/>
          <w:sz w:val="24"/>
          <w:szCs w:val="24"/>
        </w:rPr>
        <w:t>estrategias básicas:</w:t>
      </w:r>
    </w:p>
    <w:p w:rsidR="00A04FDE" w:rsidRDefault="00A04FDE" w:rsidP="007760EC">
      <w:pPr>
        <w:spacing w:line="360" w:lineRule="auto"/>
        <w:jc w:val="both"/>
        <w:rPr>
          <w:rFonts w:ascii="Arial" w:hAnsi="Arial" w:cs="Arial"/>
          <w:sz w:val="24"/>
          <w:szCs w:val="24"/>
        </w:rPr>
      </w:pPr>
      <w:r w:rsidRPr="00A04FDE">
        <w:rPr>
          <w:rFonts w:ascii="Arial" w:hAnsi="Arial" w:cs="Arial"/>
          <w:noProof/>
          <w:sz w:val="24"/>
          <w:szCs w:val="24"/>
          <w:lang w:val="es-CL" w:eastAsia="es-CL"/>
        </w:rPr>
        <w:drawing>
          <wp:inline distT="0" distB="0" distL="0" distR="0">
            <wp:extent cx="5612130" cy="4112895"/>
            <wp:effectExtent l="76200" t="0" r="64770" b="0"/>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40427" w:rsidRDefault="00440427" w:rsidP="008E4D50">
      <w:pPr>
        <w:spacing w:line="360" w:lineRule="auto"/>
        <w:jc w:val="both"/>
        <w:rPr>
          <w:rFonts w:ascii="Arial" w:hAnsi="Arial" w:cs="Arial"/>
          <w:sz w:val="24"/>
          <w:szCs w:val="24"/>
        </w:rPr>
      </w:pPr>
    </w:p>
    <w:sectPr w:rsidR="00440427" w:rsidSect="0046392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CC" w:rsidRDefault="00AF18CC" w:rsidP="00946696">
      <w:pPr>
        <w:spacing w:after="0" w:line="240" w:lineRule="auto"/>
      </w:pPr>
      <w:r>
        <w:separator/>
      </w:r>
    </w:p>
  </w:endnote>
  <w:endnote w:type="continuationSeparator" w:id="0">
    <w:p w:rsidR="00AF18CC" w:rsidRDefault="00AF18CC" w:rsidP="00946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6398612"/>
      <w:docPartObj>
        <w:docPartGallery w:val="Page Numbers (Bottom of Page)"/>
        <w:docPartUnique/>
      </w:docPartObj>
    </w:sdtPr>
    <w:sdtContent>
      <w:sdt>
        <w:sdtPr>
          <w:rPr>
            <w:rFonts w:ascii="Arial" w:hAnsi="Arial" w:cs="Arial"/>
            <w:sz w:val="16"/>
            <w:szCs w:val="16"/>
          </w:rPr>
          <w:id w:val="216747541"/>
          <w:docPartObj>
            <w:docPartGallery w:val="Page Numbers (Top of Page)"/>
            <w:docPartUnique/>
          </w:docPartObj>
        </w:sdtPr>
        <w:sdtContent>
          <w:p w:rsidR="009E5C49" w:rsidRPr="009E5C49" w:rsidRDefault="009E5C49">
            <w:pPr>
              <w:pStyle w:val="Piedepgina"/>
              <w:jc w:val="center"/>
              <w:rPr>
                <w:rFonts w:ascii="Arial" w:hAnsi="Arial" w:cs="Arial"/>
                <w:sz w:val="16"/>
                <w:szCs w:val="16"/>
              </w:rPr>
            </w:pPr>
            <w:r w:rsidRPr="009E5C49">
              <w:rPr>
                <w:rFonts w:ascii="Arial" w:hAnsi="Arial" w:cs="Arial"/>
                <w:sz w:val="16"/>
                <w:szCs w:val="16"/>
              </w:rPr>
              <w:t xml:space="preserve">Página </w:t>
            </w:r>
            <w:r w:rsidR="00B94EF3" w:rsidRPr="009E5C49">
              <w:rPr>
                <w:rFonts w:ascii="Arial" w:hAnsi="Arial" w:cs="Arial"/>
                <w:b/>
                <w:sz w:val="16"/>
                <w:szCs w:val="16"/>
              </w:rPr>
              <w:fldChar w:fldCharType="begin"/>
            </w:r>
            <w:r w:rsidRPr="009E5C49">
              <w:rPr>
                <w:rFonts w:ascii="Arial" w:hAnsi="Arial" w:cs="Arial"/>
                <w:b/>
                <w:sz w:val="16"/>
                <w:szCs w:val="16"/>
              </w:rPr>
              <w:instrText>PAGE</w:instrText>
            </w:r>
            <w:r w:rsidR="00B94EF3" w:rsidRPr="009E5C49">
              <w:rPr>
                <w:rFonts w:ascii="Arial" w:hAnsi="Arial" w:cs="Arial"/>
                <w:b/>
                <w:sz w:val="16"/>
                <w:szCs w:val="16"/>
              </w:rPr>
              <w:fldChar w:fldCharType="separate"/>
            </w:r>
            <w:r w:rsidR="001A7F81">
              <w:rPr>
                <w:rFonts w:ascii="Arial" w:hAnsi="Arial" w:cs="Arial"/>
                <w:b/>
                <w:noProof/>
                <w:sz w:val="16"/>
                <w:szCs w:val="16"/>
              </w:rPr>
              <w:t>1</w:t>
            </w:r>
            <w:r w:rsidR="00B94EF3" w:rsidRPr="009E5C49">
              <w:rPr>
                <w:rFonts w:ascii="Arial" w:hAnsi="Arial" w:cs="Arial"/>
                <w:b/>
                <w:sz w:val="16"/>
                <w:szCs w:val="16"/>
              </w:rPr>
              <w:fldChar w:fldCharType="end"/>
            </w:r>
            <w:r w:rsidRPr="009E5C49">
              <w:rPr>
                <w:rFonts w:ascii="Arial" w:hAnsi="Arial" w:cs="Arial"/>
                <w:sz w:val="16"/>
                <w:szCs w:val="16"/>
              </w:rPr>
              <w:t xml:space="preserve"> de </w:t>
            </w:r>
            <w:r w:rsidR="00B94EF3" w:rsidRPr="009E5C49">
              <w:rPr>
                <w:rFonts w:ascii="Arial" w:hAnsi="Arial" w:cs="Arial"/>
                <w:b/>
                <w:sz w:val="16"/>
                <w:szCs w:val="16"/>
              </w:rPr>
              <w:fldChar w:fldCharType="begin"/>
            </w:r>
            <w:r w:rsidRPr="009E5C49">
              <w:rPr>
                <w:rFonts w:ascii="Arial" w:hAnsi="Arial" w:cs="Arial"/>
                <w:b/>
                <w:sz w:val="16"/>
                <w:szCs w:val="16"/>
              </w:rPr>
              <w:instrText>NUMPAGES</w:instrText>
            </w:r>
            <w:r w:rsidR="00B94EF3" w:rsidRPr="009E5C49">
              <w:rPr>
                <w:rFonts w:ascii="Arial" w:hAnsi="Arial" w:cs="Arial"/>
                <w:b/>
                <w:sz w:val="16"/>
                <w:szCs w:val="16"/>
              </w:rPr>
              <w:fldChar w:fldCharType="separate"/>
            </w:r>
            <w:r w:rsidR="001A7F81">
              <w:rPr>
                <w:rFonts w:ascii="Arial" w:hAnsi="Arial" w:cs="Arial"/>
                <w:b/>
                <w:noProof/>
                <w:sz w:val="16"/>
                <w:szCs w:val="16"/>
              </w:rPr>
              <w:t>9</w:t>
            </w:r>
            <w:r w:rsidR="00B94EF3" w:rsidRPr="009E5C49">
              <w:rPr>
                <w:rFonts w:ascii="Arial" w:hAnsi="Arial" w:cs="Arial"/>
                <w:b/>
                <w:sz w:val="16"/>
                <w:szCs w:val="16"/>
              </w:rPr>
              <w:fldChar w:fldCharType="end"/>
            </w:r>
          </w:p>
        </w:sdtContent>
      </w:sdt>
    </w:sdtContent>
  </w:sdt>
  <w:p w:rsidR="009E5C49" w:rsidRPr="009E5C49" w:rsidRDefault="009E5C49">
    <w:pPr>
      <w:pStyle w:val="Piedepgin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CC" w:rsidRDefault="00AF18CC" w:rsidP="00946696">
      <w:pPr>
        <w:spacing w:after="0" w:line="240" w:lineRule="auto"/>
      </w:pPr>
      <w:r>
        <w:separator/>
      </w:r>
    </w:p>
  </w:footnote>
  <w:footnote w:type="continuationSeparator" w:id="0">
    <w:p w:rsidR="00AF18CC" w:rsidRDefault="00AF18CC" w:rsidP="00946696">
      <w:pPr>
        <w:spacing w:after="0" w:line="240" w:lineRule="auto"/>
      </w:pPr>
      <w:r>
        <w:continuationSeparator/>
      </w:r>
    </w:p>
  </w:footnote>
  <w:footnote w:id="1">
    <w:p w:rsidR="00900E79" w:rsidRPr="0006408C" w:rsidRDefault="00900E79" w:rsidP="00192704">
      <w:pPr>
        <w:pStyle w:val="Textonotapie"/>
        <w:jc w:val="both"/>
        <w:rPr>
          <w:rFonts w:ascii="Arial" w:hAnsi="Arial" w:cs="Arial"/>
        </w:rPr>
      </w:pPr>
      <w:r w:rsidRPr="0006408C">
        <w:rPr>
          <w:rStyle w:val="Refdenotaalpie"/>
          <w:rFonts w:ascii="Arial" w:hAnsi="Arial" w:cs="Arial"/>
        </w:rPr>
        <w:footnoteRef/>
      </w:r>
      <w:r w:rsidRPr="0006408C">
        <w:rPr>
          <w:rFonts w:ascii="Arial" w:hAnsi="Arial" w:cs="Arial"/>
        </w:rPr>
        <w:t xml:space="preserve"> Mide las mismas dimensiones que el índice de desarrollo humano con producto interno bruto, sustituyendo la parte de calidad de vida dada por el ingreso con la tasa de habitantes con drenaje, la tasa de habitantes con agua y la tasa de habitantes con electricidad.</w:t>
      </w:r>
    </w:p>
  </w:footnote>
  <w:footnote w:id="2">
    <w:p w:rsidR="00900E79" w:rsidRPr="0006408C" w:rsidRDefault="00900E79">
      <w:pPr>
        <w:pStyle w:val="Textonotapie"/>
        <w:rPr>
          <w:rFonts w:ascii="Arial" w:hAnsi="Arial" w:cs="Arial"/>
        </w:rPr>
      </w:pPr>
      <w:r w:rsidRPr="0006408C">
        <w:rPr>
          <w:rStyle w:val="Refdenotaalpie"/>
          <w:rFonts w:ascii="Arial" w:hAnsi="Arial" w:cs="Arial"/>
        </w:rPr>
        <w:footnoteRef/>
      </w:r>
      <w:r w:rsidRPr="0006408C">
        <w:rPr>
          <w:rFonts w:ascii="Arial" w:hAnsi="Arial" w:cs="Arial"/>
        </w:rPr>
        <w:t xml:space="preserve"> Comprende: arroyo, barranca, bordos, canal, estero, galería filtrante, lago, laguna, noria, pozo somero, presa y otros</w:t>
      </w:r>
      <w:r w:rsidR="00645929">
        <w:rPr>
          <w:rFonts w:ascii="Arial" w:hAnsi="Arial" w:cs="Arial"/>
        </w:rPr>
        <w:t>.</w:t>
      </w:r>
    </w:p>
  </w:footnote>
  <w:footnote w:id="3">
    <w:p w:rsidR="00900E79" w:rsidRPr="0006408C" w:rsidRDefault="00900E79">
      <w:pPr>
        <w:pStyle w:val="Textonotapie"/>
        <w:rPr>
          <w:rFonts w:ascii="Arial" w:hAnsi="Arial" w:cs="Arial"/>
        </w:rPr>
      </w:pPr>
      <w:r w:rsidRPr="0006408C">
        <w:rPr>
          <w:rStyle w:val="Refdenotaalpie"/>
          <w:rFonts w:ascii="Arial" w:hAnsi="Arial" w:cs="Arial"/>
        </w:rPr>
        <w:footnoteRef/>
      </w:r>
      <w:r w:rsidRPr="0006408C">
        <w:rPr>
          <w:rFonts w:ascii="Arial" w:hAnsi="Arial" w:cs="Arial"/>
        </w:rPr>
        <w:t xml:space="preserve"> Comprende domésticas, industriales y de servicios</w:t>
      </w:r>
      <w:r w:rsidR="00645929">
        <w:rPr>
          <w:rFonts w:ascii="Arial" w:hAnsi="Arial" w:cs="Aria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49" w:rsidRDefault="009E5C49" w:rsidP="009E5C49">
    <w:pPr>
      <w:pStyle w:val="Encabezado"/>
      <w:jc w:val="center"/>
    </w:pPr>
    <w:r>
      <w:rPr>
        <w:noProof/>
        <w:lang w:val="es-CL" w:eastAsia="es-CL"/>
      </w:rPr>
      <w:drawing>
        <wp:anchor distT="0" distB="0" distL="114300" distR="114300" simplePos="0" relativeHeight="251659264" behindDoc="0" locked="0" layoutInCell="1" allowOverlap="1">
          <wp:simplePos x="0" y="0"/>
          <wp:positionH relativeFrom="column">
            <wp:posOffset>-521335</wp:posOffset>
          </wp:positionH>
          <wp:positionV relativeFrom="paragraph">
            <wp:posOffset>-372745</wp:posOffset>
          </wp:positionV>
          <wp:extent cx="687070" cy="647065"/>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val="es-CL" w:eastAsia="es-CL"/>
      </w:rPr>
      <w:drawing>
        <wp:anchor distT="0" distB="0" distL="114300" distR="114300" simplePos="0" relativeHeight="251660288" behindDoc="0" locked="0" layoutInCell="1" allowOverlap="1">
          <wp:simplePos x="0" y="0"/>
          <wp:positionH relativeFrom="column">
            <wp:posOffset>5345652</wp:posOffset>
          </wp:positionH>
          <wp:positionV relativeFrom="paragraph">
            <wp:posOffset>-372390</wp:posOffset>
          </wp:positionV>
          <wp:extent cx="687532" cy="647205"/>
          <wp:effectExtent l="19050" t="0" r="0" b="0"/>
          <wp:wrapNone/>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t>PROYECTO DE PRESUPUESTO</w:t>
    </w:r>
  </w:p>
  <w:p w:rsidR="009E5C49" w:rsidRDefault="009E5C49" w:rsidP="009E5C49">
    <w:pPr>
      <w:pStyle w:val="Encabezado"/>
      <w:jc w:val="center"/>
    </w:pPr>
    <w: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41DC"/>
    <w:multiLevelType w:val="hybridMultilevel"/>
    <w:tmpl w:val="853E41C0"/>
    <w:lvl w:ilvl="0" w:tplc="E5326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E42456"/>
    <w:multiLevelType w:val="hybridMultilevel"/>
    <w:tmpl w:val="63CE5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6D20"/>
    <w:rsid w:val="00000E04"/>
    <w:rsid w:val="00016148"/>
    <w:rsid w:val="00031693"/>
    <w:rsid w:val="00057585"/>
    <w:rsid w:val="0006408C"/>
    <w:rsid w:val="000730A0"/>
    <w:rsid w:val="00084D88"/>
    <w:rsid w:val="00086876"/>
    <w:rsid w:val="000A74E8"/>
    <w:rsid w:val="0011200E"/>
    <w:rsid w:val="00147423"/>
    <w:rsid w:val="00167C92"/>
    <w:rsid w:val="00192704"/>
    <w:rsid w:val="001A008F"/>
    <w:rsid w:val="001A7F81"/>
    <w:rsid w:val="001C5B7A"/>
    <w:rsid w:val="001D14FE"/>
    <w:rsid w:val="001E2902"/>
    <w:rsid w:val="001E3462"/>
    <w:rsid w:val="001E6D20"/>
    <w:rsid w:val="00213C91"/>
    <w:rsid w:val="002430AC"/>
    <w:rsid w:val="00267BFE"/>
    <w:rsid w:val="0027240E"/>
    <w:rsid w:val="002973C0"/>
    <w:rsid w:val="002C295C"/>
    <w:rsid w:val="002D0740"/>
    <w:rsid w:val="003071CF"/>
    <w:rsid w:val="003147C1"/>
    <w:rsid w:val="00333EBB"/>
    <w:rsid w:val="00345E24"/>
    <w:rsid w:val="0039591C"/>
    <w:rsid w:val="003C5C45"/>
    <w:rsid w:val="003D0E1D"/>
    <w:rsid w:val="003F517B"/>
    <w:rsid w:val="00403D1A"/>
    <w:rsid w:val="00440427"/>
    <w:rsid w:val="004570CC"/>
    <w:rsid w:val="00460018"/>
    <w:rsid w:val="00460A31"/>
    <w:rsid w:val="0046392C"/>
    <w:rsid w:val="00471F95"/>
    <w:rsid w:val="004A1664"/>
    <w:rsid w:val="004B72B5"/>
    <w:rsid w:val="004B7EFC"/>
    <w:rsid w:val="004C7895"/>
    <w:rsid w:val="004E66E7"/>
    <w:rsid w:val="004F0893"/>
    <w:rsid w:val="0052016D"/>
    <w:rsid w:val="00530EBB"/>
    <w:rsid w:val="0056417E"/>
    <w:rsid w:val="005804D4"/>
    <w:rsid w:val="005921F5"/>
    <w:rsid w:val="00595BBF"/>
    <w:rsid w:val="005C3ED3"/>
    <w:rsid w:val="005C6FC7"/>
    <w:rsid w:val="00600BE8"/>
    <w:rsid w:val="00611E03"/>
    <w:rsid w:val="006215BC"/>
    <w:rsid w:val="006441E0"/>
    <w:rsid w:val="00645929"/>
    <w:rsid w:val="00674350"/>
    <w:rsid w:val="00695E80"/>
    <w:rsid w:val="006C3362"/>
    <w:rsid w:val="006E2F8C"/>
    <w:rsid w:val="007003BD"/>
    <w:rsid w:val="007025CA"/>
    <w:rsid w:val="00734334"/>
    <w:rsid w:val="007463E2"/>
    <w:rsid w:val="007532D6"/>
    <w:rsid w:val="00757C5A"/>
    <w:rsid w:val="00771FC0"/>
    <w:rsid w:val="007760EC"/>
    <w:rsid w:val="007851B5"/>
    <w:rsid w:val="007B594B"/>
    <w:rsid w:val="007B6580"/>
    <w:rsid w:val="007D7BBF"/>
    <w:rsid w:val="007E0411"/>
    <w:rsid w:val="008006A3"/>
    <w:rsid w:val="00802B86"/>
    <w:rsid w:val="00826CCC"/>
    <w:rsid w:val="00865125"/>
    <w:rsid w:val="00873478"/>
    <w:rsid w:val="0087404E"/>
    <w:rsid w:val="00896A21"/>
    <w:rsid w:val="008A6F92"/>
    <w:rsid w:val="008B1D65"/>
    <w:rsid w:val="008C1F1B"/>
    <w:rsid w:val="008C4BBD"/>
    <w:rsid w:val="008D7DE0"/>
    <w:rsid w:val="008E4D50"/>
    <w:rsid w:val="008F56CE"/>
    <w:rsid w:val="00900E79"/>
    <w:rsid w:val="00941B5F"/>
    <w:rsid w:val="00943893"/>
    <w:rsid w:val="00946696"/>
    <w:rsid w:val="009538DF"/>
    <w:rsid w:val="00976C12"/>
    <w:rsid w:val="00997EF2"/>
    <w:rsid w:val="009B2206"/>
    <w:rsid w:val="009B4A86"/>
    <w:rsid w:val="009E5C49"/>
    <w:rsid w:val="009E5FD8"/>
    <w:rsid w:val="009F679F"/>
    <w:rsid w:val="00A04FDE"/>
    <w:rsid w:val="00A94FE3"/>
    <w:rsid w:val="00AE4679"/>
    <w:rsid w:val="00AF18CC"/>
    <w:rsid w:val="00B41C4E"/>
    <w:rsid w:val="00B514D6"/>
    <w:rsid w:val="00B94EF3"/>
    <w:rsid w:val="00BB29F2"/>
    <w:rsid w:val="00BB6DF1"/>
    <w:rsid w:val="00BC4D4B"/>
    <w:rsid w:val="00BC60F7"/>
    <w:rsid w:val="00BD438C"/>
    <w:rsid w:val="00BE2E34"/>
    <w:rsid w:val="00BF5A0C"/>
    <w:rsid w:val="00C41F07"/>
    <w:rsid w:val="00CA6D4F"/>
    <w:rsid w:val="00D01ACE"/>
    <w:rsid w:val="00D03CFC"/>
    <w:rsid w:val="00D441E9"/>
    <w:rsid w:val="00D544D2"/>
    <w:rsid w:val="00D553E4"/>
    <w:rsid w:val="00D5552C"/>
    <w:rsid w:val="00D80394"/>
    <w:rsid w:val="00D93759"/>
    <w:rsid w:val="00E02CE1"/>
    <w:rsid w:val="00E23BA9"/>
    <w:rsid w:val="00E32BA4"/>
    <w:rsid w:val="00E34C10"/>
    <w:rsid w:val="00E3777B"/>
    <w:rsid w:val="00E469E3"/>
    <w:rsid w:val="00E56016"/>
    <w:rsid w:val="00E93D11"/>
    <w:rsid w:val="00EA2865"/>
    <w:rsid w:val="00EB6847"/>
    <w:rsid w:val="00EC1B36"/>
    <w:rsid w:val="00ED4A42"/>
    <w:rsid w:val="00ED796E"/>
    <w:rsid w:val="00EE1AB4"/>
    <w:rsid w:val="00EF2921"/>
    <w:rsid w:val="00F0338F"/>
    <w:rsid w:val="00F05185"/>
    <w:rsid w:val="00F13B81"/>
    <w:rsid w:val="00F676ED"/>
    <w:rsid w:val="00F93253"/>
    <w:rsid w:val="00FD447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9F2"/>
  </w:style>
  <w:style w:type="paragraph" w:styleId="Ttulo1">
    <w:name w:val="heading 1"/>
    <w:basedOn w:val="Normal"/>
    <w:link w:val="Ttulo1Car"/>
    <w:uiPriority w:val="9"/>
    <w:qFormat/>
    <w:rsid w:val="00C41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F07"/>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C41F07"/>
  </w:style>
  <w:style w:type="character" w:styleId="Hipervnculo">
    <w:name w:val="Hyperlink"/>
    <w:basedOn w:val="Fuentedeprrafopredeter"/>
    <w:uiPriority w:val="99"/>
    <w:unhideWhenUsed/>
    <w:rsid w:val="004F0893"/>
    <w:rPr>
      <w:color w:val="0000FF"/>
      <w:u w:val="single"/>
    </w:rPr>
  </w:style>
  <w:style w:type="paragraph" w:styleId="Encabezado">
    <w:name w:val="header"/>
    <w:basedOn w:val="Normal"/>
    <w:link w:val="EncabezadoCar"/>
    <w:uiPriority w:val="99"/>
    <w:unhideWhenUsed/>
    <w:rsid w:val="009466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696"/>
  </w:style>
  <w:style w:type="paragraph" w:styleId="Piedepgina">
    <w:name w:val="footer"/>
    <w:basedOn w:val="Normal"/>
    <w:link w:val="PiedepginaCar"/>
    <w:uiPriority w:val="99"/>
    <w:unhideWhenUsed/>
    <w:rsid w:val="009466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6696"/>
  </w:style>
  <w:style w:type="paragraph" w:styleId="Textoindependiente">
    <w:name w:val="Body Text"/>
    <w:basedOn w:val="Normal"/>
    <w:link w:val="TextoindependienteCar"/>
    <w:uiPriority w:val="99"/>
    <w:semiHidden/>
    <w:unhideWhenUsed/>
    <w:rsid w:val="00E23BA9"/>
    <w:pPr>
      <w:spacing w:after="120"/>
    </w:pPr>
  </w:style>
  <w:style w:type="character" w:customStyle="1" w:styleId="TextoindependienteCar">
    <w:name w:val="Texto independiente Car"/>
    <w:basedOn w:val="Fuentedeprrafopredeter"/>
    <w:link w:val="Textoindependiente"/>
    <w:uiPriority w:val="99"/>
    <w:semiHidden/>
    <w:rsid w:val="00E23BA9"/>
  </w:style>
  <w:style w:type="paragraph" w:styleId="Textodeglobo">
    <w:name w:val="Balloon Text"/>
    <w:basedOn w:val="Normal"/>
    <w:link w:val="TextodegloboCar"/>
    <w:uiPriority w:val="99"/>
    <w:semiHidden/>
    <w:unhideWhenUsed/>
    <w:rsid w:val="00E56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016"/>
    <w:rPr>
      <w:rFonts w:ascii="Tahoma" w:hAnsi="Tahoma" w:cs="Tahoma"/>
      <w:sz w:val="16"/>
      <w:szCs w:val="16"/>
    </w:rPr>
  </w:style>
  <w:style w:type="character" w:styleId="Textoennegrita">
    <w:name w:val="Strong"/>
    <w:basedOn w:val="Fuentedeprrafopredeter"/>
    <w:uiPriority w:val="22"/>
    <w:qFormat/>
    <w:rsid w:val="00403D1A"/>
    <w:rPr>
      <w:b/>
      <w:bCs/>
    </w:rPr>
  </w:style>
  <w:style w:type="paragraph" w:styleId="Prrafodelista">
    <w:name w:val="List Paragraph"/>
    <w:basedOn w:val="Normal"/>
    <w:uiPriority w:val="34"/>
    <w:qFormat/>
    <w:rsid w:val="00E32BA4"/>
    <w:pPr>
      <w:ind w:left="720"/>
      <w:contextualSpacing/>
    </w:pPr>
  </w:style>
  <w:style w:type="character" w:styleId="Refdecomentario">
    <w:name w:val="annotation reference"/>
    <w:basedOn w:val="Fuentedeprrafopredeter"/>
    <w:uiPriority w:val="99"/>
    <w:semiHidden/>
    <w:unhideWhenUsed/>
    <w:rsid w:val="009538DF"/>
    <w:rPr>
      <w:sz w:val="16"/>
      <w:szCs w:val="16"/>
    </w:rPr>
  </w:style>
  <w:style w:type="paragraph" w:styleId="Textocomentario">
    <w:name w:val="annotation text"/>
    <w:basedOn w:val="Normal"/>
    <w:link w:val="TextocomentarioCar"/>
    <w:uiPriority w:val="99"/>
    <w:semiHidden/>
    <w:unhideWhenUsed/>
    <w:rsid w:val="00953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8DF"/>
    <w:rPr>
      <w:sz w:val="20"/>
      <w:szCs w:val="20"/>
    </w:rPr>
  </w:style>
  <w:style w:type="paragraph" w:styleId="Asuntodelcomentario">
    <w:name w:val="annotation subject"/>
    <w:basedOn w:val="Textocomentario"/>
    <w:next w:val="Textocomentario"/>
    <w:link w:val="AsuntodelcomentarioCar"/>
    <w:uiPriority w:val="99"/>
    <w:semiHidden/>
    <w:unhideWhenUsed/>
    <w:rsid w:val="009538DF"/>
    <w:rPr>
      <w:b/>
      <w:bCs/>
    </w:rPr>
  </w:style>
  <w:style w:type="character" w:customStyle="1" w:styleId="AsuntodelcomentarioCar">
    <w:name w:val="Asunto del comentario Car"/>
    <w:basedOn w:val="TextocomentarioCar"/>
    <w:link w:val="Asuntodelcomentario"/>
    <w:uiPriority w:val="99"/>
    <w:semiHidden/>
    <w:rsid w:val="009538DF"/>
    <w:rPr>
      <w:b/>
      <w:bCs/>
      <w:sz w:val="20"/>
      <w:szCs w:val="20"/>
    </w:rPr>
  </w:style>
  <w:style w:type="paragraph" w:styleId="Textonotapie">
    <w:name w:val="footnote text"/>
    <w:basedOn w:val="Normal"/>
    <w:link w:val="TextonotapieCar"/>
    <w:uiPriority w:val="99"/>
    <w:semiHidden/>
    <w:unhideWhenUsed/>
    <w:rsid w:val="001927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704"/>
    <w:rPr>
      <w:sz w:val="20"/>
      <w:szCs w:val="20"/>
    </w:rPr>
  </w:style>
  <w:style w:type="character" w:styleId="Refdenotaalpie">
    <w:name w:val="footnote reference"/>
    <w:basedOn w:val="Fuentedeprrafopredeter"/>
    <w:uiPriority w:val="99"/>
    <w:semiHidden/>
    <w:unhideWhenUsed/>
    <w:rsid w:val="00192704"/>
    <w:rPr>
      <w:vertAlign w:val="superscript"/>
    </w:rPr>
  </w:style>
  <w:style w:type="table" w:styleId="Tablaconcuadrcula">
    <w:name w:val="Table Grid"/>
    <w:basedOn w:val="Tablanormal"/>
    <w:uiPriority w:val="59"/>
    <w:rsid w:val="00580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is6">
    <w:name w:val="Light List Accent 6"/>
    <w:basedOn w:val="Tablanormal"/>
    <w:uiPriority w:val="61"/>
    <w:rsid w:val="005804D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media1-nfasis6">
    <w:name w:val="Medium Grid 1 Accent 6"/>
    <w:basedOn w:val="Tablanormal"/>
    <w:uiPriority w:val="67"/>
    <w:rsid w:val="005804D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41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F07"/>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C41F07"/>
  </w:style>
  <w:style w:type="character" w:styleId="Hipervnculo">
    <w:name w:val="Hyperlink"/>
    <w:basedOn w:val="Fuentedeprrafopredeter"/>
    <w:uiPriority w:val="99"/>
    <w:unhideWhenUsed/>
    <w:rsid w:val="004F0893"/>
    <w:rPr>
      <w:color w:val="0000FF"/>
      <w:u w:val="single"/>
    </w:rPr>
  </w:style>
  <w:style w:type="paragraph" w:styleId="Encabezado">
    <w:name w:val="header"/>
    <w:basedOn w:val="Normal"/>
    <w:link w:val="EncabezadoCar"/>
    <w:uiPriority w:val="99"/>
    <w:unhideWhenUsed/>
    <w:rsid w:val="009466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696"/>
  </w:style>
  <w:style w:type="paragraph" w:styleId="Piedepgina">
    <w:name w:val="footer"/>
    <w:basedOn w:val="Normal"/>
    <w:link w:val="PiedepginaCar"/>
    <w:uiPriority w:val="99"/>
    <w:unhideWhenUsed/>
    <w:rsid w:val="009466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6696"/>
  </w:style>
  <w:style w:type="paragraph" w:styleId="Textoindependiente">
    <w:name w:val="Body Text"/>
    <w:basedOn w:val="Normal"/>
    <w:link w:val="TextoindependienteCar"/>
    <w:uiPriority w:val="99"/>
    <w:semiHidden/>
    <w:unhideWhenUsed/>
    <w:rsid w:val="00E23BA9"/>
    <w:pPr>
      <w:spacing w:after="120"/>
    </w:pPr>
  </w:style>
  <w:style w:type="character" w:customStyle="1" w:styleId="TextoindependienteCar">
    <w:name w:val="Texto independiente Car"/>
    <w:basedOn w:val="Fuentedeprrafopredeter"/>
    <w:link w:val="Textoindependiente"/>
    <w:uiPriority w:val="99"/>
    <w:semiHidden/>
    <w:rsid w:val="00E23BA9"/>
  </w:style>
  <w:style w:type="paragraph" w:styleId="Textodeglobo">
    <w:name w:val="Balloon Text"/>
    <w:basedOn w:val="Normal"/>
    <w:link w:val="TextodegloboCar"/>
    <w:uiPriority w:val="99"/>
    <w:semiHidden/>
    <w:unhideWhenUsed/>
    <w:rsid w:val="00E56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016"/>
    <w:rPr>
      <w:rFonts w:ascii="Tahoma" w:hAnsi="Tahoma" w:cs="Tahoma"/>
      <w:sz w:val="16"/>
      <w:szCs w:val="16"/>
    </w:rPr>
  </w:style>
  <w:style w:type="character" w:styleId="Textoennegrita">
    <w:name w:val="Strong"/>
    <w:basedOn w:val="Fuentedeprrafopredeter"/>
    <w:uiPriority w:val="22"/>
    <w:qFormat/>
    <w:rsid w:val="00403D1A"/>
    <w:rPr>
      <w:b/>
      <w:bCs/>
    </w:rPr>
  </w:style>
  <w:style w:type="paragraph" w:styleId="Prrafodelista">
    <w:name w:val="List Paragraph"/>
    <w:basedOn w:val="Normal"/>
    <w:uiPriority w:val="34"/>
    <w:qFormat/>
    <w:rsid w:val="00E32BA4"/>
    <w:pPr>
      <w:ind w:left="720"/>
      <w:contextualSpacing/>
    </w:pPr>
  </w:style>
  <w:style w:type="character" w:styleId="Refdecomentario">
    <w:name w:val="annotation reference"/>
    <w:basedOn w:val="Fuentedeprrafopredeter"/>
    <w:uiPriority w:val="99"/>
    <w:semiHidden/>
    <w:unhideWhenUsed/>
    <w:rsid w:val="009538DF"/>
    <w:rPr>
      <w:sz w:val="16"/>
      <w:szCs w:val="16"/>
    </w:rPr>
  </w:style>
  <w:style w:type="paragraph" w:styleId="Textocomentario">
    <w:name w:val="annotation text"/>
    <w:basedOn w:val="Normal"/>
    <w:link w:val="TextocomentarioCar"/>
    <w:uiPriority w:val="99"/>
    <w:semiHidden/>
    <w:unhideWhenUsed/>
    <w:rsid w:val="00953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38DF"/>
    <w:rPr>
      <w:sz w:val="20"/>
      <w:szCs w:val="20"/>
    </w:rPr>
  </w:style>
  <w:style w:type="paragraph" w:styleId="Asuntodelcomentario">
    <w:name w:val="annotation subject"/>
    <w:basedOn w:val="Textocomentario"/>
    <w:next w:val="Textocomentario"/>
    <w:link w:val="AsuntodelcomentarioCar"/>
    <w:uiPriority w:val="99"/>
    <w:semiHidden/>
    <w:unhideWhenUsed/>
    <w:rsid w:val="009538DF"/>
    <w:rPr>
      <w:b/>
      <w:bCs/>
    </w:rPr>
  </w:style>
  <w:style w:type="character" w:customStyle="1" w:styleId="AsuntodelcomentarioCar">
    <w:name w:val="Asunto del comentario Car"/>
    <w:basedOn w:val="TextocomentarioCar"/>
    <w:link w:val="Asuntodelcomentario"/>
    <w:uiPriority w:val="99"/>
    <w:semiHidden/>
    <w:rsid w:val="009538DF"/>
    <w:rPr>
      <w:b/>
      <w:bCs/>
      <w:sz w:val="20"/>
      <w:szCs w:val="20"/>
    </w:rPr>
  </w:style>
  <w:style w:type="paragraph" w:styleId="Textonotapie">
    <w:name w:val="footnote text"/>
    <w:basedOn w:val="Normal"/>
    <w:link w:val="TextonotapieCar"/>
    <w:uiPriority w:val="99"/>
    <w:semiHidden/>
    <w:unhideWhenUsed/>
    <w:rsid w:val="001927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92704"/>
    <w:rPr>
      <w:sz w:val="20"/>
      <w:szCs w:val="20"/>
    </w:rPr>
  </w:style>
  <w:style w:type="character" w:styleId="Refdenotaalpie">
    <w:name w:val="footnote reference"/>
    <w:basedOn w:val="Fuentedeprrafopredeter"/>
    <w:uiPriority w:val="99"/>
    <w:semiHidden/>
    <w:unhideWhenUsed/>
    <w:rsid w:val="00192704"/>
    <w:rPr>
      <w:vertAlign w:val="superscript"/>
    </w:rPr>
  </w:style>
  <w:style w:type="table" w:styleId="Tablaconcuadrcula">
    <w:name w:val="Table Grid"/>
    <w:basedOn w:val="Tablanormal"/>
    <w:uiPriority w:val="59"/>
    <w:rsid w:val="005804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aclara-nfasis6">
    <w:name w:val="Light List Accent 6"/>
    <w:basedOn w:val="Tablanormal"/>
    <w:uiPriority w:val="61"/>
    <w:rsid w:val="005804D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media1-nfasis6">
    <w:name w:val="Medium Grid 1 Accent 6"/>
    <w:basedOn w:val="Tablanormal"/>
    <w:uiPriority w:val="67"/>
    <w:rsid w:val="005804D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12850763">
      <w:bodyDiv w:val="1"/>
      <w:marLeft w:val="0"/>
      <w:marRight w:val="0"/>
      <w:marTop w:val="0"/>
      <w:marBottom w:val="0"/>
      <w:divBdr>
        <w:top w:val="none" w:sz="0" w:space="0" w:color="auto"/>
        <w:left w:val="none" w:sz="0" w:space="0" w:color="auto"/>
        <w:bottom w:val="none" w:sz="0" w:space="0" w:color="auto"/>
        <w:right w:val="none" w:sz="0" w:space="0" w:color="auto"/>
      </w:divBdr>
    </w:div>
    <w:div w:id="26490835">
      <w:bodyDiv w:val="1"/>
      <w:marLeft w:val="0"/>
      <w:marRight w:val="0"/>
      <w:marTop w:val="0"/>
      <w:marBottom w:val="0"/>
      <w:divBdr>
        <w:top w:val="none" w:sz="0" w:space="0" w:color="auto"/>
        <w:left w:val="none" w:sz="0" w:space="0" w:color="auto"/>
        <w:bottom w:val="none" w:sz="0" w:space="0" w:color="auto"/>
        <w:right w:val="none" w:sz="0" w:space="0" w:color="auto"/>
      </w:divBdr>
    </w:div>
    <w:div w:id="86004072">
      <w:bodyDiv w:val="1"/>
      <w:marLeft w:val="0"/>
      <w:marRight w:val="0"/>
      <w:marTop w:val="0"/>
      <w:marBottom w:val="0"/>
      <w:divBdr>
        <w:top w:val="none" w:sz="0" w:space="0" w:color="auto"/>
        <w:left w:val="none" w:sz="0" w:space="0" w:color="auto"/>
        <w:bottom w:val="none" w:sz="0" w:space="0" w:color="auto"/>
        <w:right w:val="none" w:sz="0" w:space="0" w:color="auto"/>
      </w:divBdr>
    </w:div>
    <w:div w:id="95446125">
      <w:bodyDiv w:val="1"/>
      <w:marLeft w:val="0"/>
      <w:marRight w:val="0"/>
      <w:marTop w:val="0"/>
      <w:marBottom w:val="0"/>
      <w:divBdr>
        <w:top w:val="none" w:sz="0" w:space="0" w:color="auto"/>
        <w:left w:val="none" w:sz="0" w:space="0" w:color="auto"/>
        <w:bottom w:val="none" w:sz="0" w:space="0" w:color="auto"/>
        <w:right w:val="none" w:sz="0" w:space="0" w:color="auto"/>
      </w:divBdr>
    </w:div>
    <w:div w:id="152111576">
      <w:bodyDiv w:val="1"/>
      <w:marLeft w:val="0"/>
      <w:marRight w:val="0"/>
      <w:marTop w:val="0"/>
      <w:marBottom w:val="0"/>
      <w:divBdr>
        <w:top w:val="none" w:sz="0" w:space="0" w:color="auto"/>
        <w:left w:val="none" w:sz="0" w:space="0" w:color="auto"/>
        <w:bottom w:val="none" w:sz="0" w:space="0" w:color="auto"/>
        <w:right w:val="none" w:sz="0" w:space="0" w:color="auto"/>
      </w:divBdr>
    </w:div>
    <w:div w:id="164563562">
      <w:bodyDiv w:val="1"/>
      <w:marLeft w:val="0"/>
      <w:marRight w:val="0"/>
      <w:marTop w:val="0"/>
      <w:marBottom w:val="0"/>
      <w:divBdr>
        <w:top w:val="none" w:sz="0" w:space="0" w:color="auto"/>
        <w:left w:val="none" w:sz="0" w:space="0" w:color="auto"/>
        <w:bottom w:val="none" w:sz="0" w:space="0" w:color="auto"/>
        <w:right w:val="none" w:sz="0" w:space="0" w:color="auto"/>
      </w:divBdr>
    </w:div>
    <w:div w:id="318769734">
      <w:bodyDiv w:val="1"/>
      <w:marLeft w:val="0"/>
      <w:marRight w:val="0"/>
      <w:marTop w:val="0"/>
      <w:marBottom w:val="0"/>
      <w:divBdr>
        <w:top w:val="none" w:sz="0" w:space="0" w:color="auto"/>
        <w:left w:val="none" w:sz="0" w:space="0" w:color="auto"/>
        <w:bottom w:val="none" w:sz="0" w:space="0" w:color="auto"/>
        <w:right w:val="none" w:sz="0" w:space="0" w:color="auto"/>
      </w:divBdr>
    </w:div>
    <w:div w:id="499002070">
      <w:bodyDiv w:val="1"/>
      <w:marLeft w:val="0"/>
      <w:marRight w:val="0"/>
      <w:marTop w:val="0"/>
      <w:marBottom w:val="0"/>
      <w:divBdr>
        <w:top w:val="none" w:sz="0" w:space="0" w:color="auto"/>
        <w:left w:val="none" w:sz="0" w:space="0" w:color="auto"/>
        <w:bottom w:val="none" w:sz="0" w:space="0" w:color="auto"/>
        <w:right w:val="none" w:sz="0" w:space="0" w:color="auto"/>
      </w:divBdr>
    </w:div>
    <w:div w:id="631405913">
      <w:bodyDiv w:val="1"/>
      <w:marLeft w:val="0"/>
      <w:marRight w:val="0"/>
      <w:marTop w:val="0"/>
      <w:marBottom w:val="0"/>
      <w:divBdr>
        <w:top w:val="none" w:sz="0" w:space="0" w:color="auto"/>
        <w:left w:val="none" w:sz="0" w:space="0" w:color="auto"/>
        <w:bottom w:val="none" w:sz="0" w:space="0" w:color="auto"/>
        <w:right w:val="none" w:sz="0" w:space="0" w:color="auto"/>
      </w:divBdr>
    </w:div>
    <w:div w:id="662244192">
      <w:bodyDiv w:val="1"/>
      <w:marLeft w:val="0"/>
      <w:marRight w:val="0"/>
      <w:marTop w:val="0"/>
      <w:marBottom w:val="0"/>
      <w:divBdr>
        <w:top w:val="none" w:sz="0" w:space="0" w:color="auto"/>
        <w:left w:val="none" w:sz="0" w:space="0" w:color="auto"/>
        <w:bottom w:val="none" w:sz="0" w:space="0" w:color="auto"/>
        <w:right w:val="none" w:sz="0" w:space="0" w:color="auto"/>
      </w:divBdr>
    </w:div>
    <w:div w:id="1177189317">
      <w:bodyDiv w:val="1"/>
      <w:marLeft w:val="0"/>
      <w:marRight w:val="0"/>
      <w:marTop w:val="0"/>
      <w:marBottom w:val="0"/>
      <w:divBdr>
        <w:top w:val="none" w:sz="0" w:space="0" w:color="auto"/>
        <w:left w:val="none" w:sz="0" w:space="0" w:color="auto"/>
        <w:bottom w:val="none" w:sz="0" w:space="0" w:color="auto"/>
        <w:right w:val="none" w:sz="0" w:space="0" w:color="auto"/>
      </w:divBdr>
    </w:div>
    <w:div w:id="1467620750">
      <w:bodyDiv w:val="1"/>
      <w:marLeft w:val="0"/>
      <w:marRight w:val="0"/>
      <w:marTop w:val="0"/>
      <w:marBottom w:val="0"/>
      <w:divBdr>
        <w:top w:val="none" w:sz="0" w:space="0" w:color="auto"/>
        <w:left w:val="none" w:sz="0" w:space="0" w:color="auto"/>
        <w:bottom w:val="none" w:sz="0" w:space="0" w:color="auto"/>
        <w:right w:val="none" w:sz="0" w:space="0" w:color="auto"/>
      </w:divBdr>
    </w:div>
    <w:div w:id="1487361144">
      <w:bodyDiv w:val="1"/>
      <w:marLeft w:val="0"/>
      <w:marRight w:val="0"/>
      <w:marTop w:val="0"/>
      <w:marBottom w:val="0"/>
      <w:divBdr>
        <w:top w:val="none" w:sz="0" w:space="0" w:color="auto"/>
        <w:left w:val="none" w:sz="0" w:space="0" w:color="auto"/>
        <w:bottom w:val="none" w:sz="0" w:space="0" w:color="auto"/>
        <w:right w:val="none" w:sz="0" w:space="0" w:color="auto"/>
      </w:divBdr>
    </w:div>
    <w:div w:id="1494376626">
      <w:bodyDiv w:val="1"/>
      <w:marLeft w:val="0"/>
      <w:marRight w:val="0"/>
      <w:marTop w:val="0"/>
      <w:marBottom w:val="0"/>
      <w:divBdr>
        <w:top w:val="none" w:sz="0" w:space="0" w:color="auto"/>
        <w:left w:val="none" w:sz="0" w:space="0" w:color="auto"/>
        <w:bottom w:val="none" w:sz="0" w:space="0" w:color="auto"/>
        <w:right w:val="none" w:sz="0" w:space="0" w:color="auto"/>
      </w:divBdr>
    </w:div>
    <w:div w:id="1584290182">
      <w:bodyDiv w:val="1"/>
      <w:marLeft w:val="0"/>
      <w:marRight w:val="0"/>
      <w:marTop w:val="0"/>
      <w:marBottom w:val="0"/>
      <w:divBdr>
        <w:top w:val="none" w:sz="0" w:space="0" w:color="auto"/>
        <w:left w:val="none" w:sz="0" w:space="0" w:color="auto"/>
        <w:bottom w:val="none" w:sz="0" w:space="0" w:color="auto"/>
        <w:right w:val="none" w:sz="0" w:space="0" w:color="auto"/>
      </w:divBdr>
    </w:div>
    <w:div w:id="1594434268">
      <w:bodyDiv w:val="1"/>
      <w:marLeft w:val="0"/>
      <w:marRight w:val="0"/>
      <w:marTop w:val="0"/>
      <w:marBottom w:val="0"/>
      <w:divBdr>
        <w:top w:val="none" w:sz="0" w:space="0" w:color="auto"/>
        <w:left w:val="none" w:sz="0" w:space="0" w:color="auto"/>
        <w:bottom w:val="none" w:sz="0" w:space="0" w:color="auto"/>
        <w:right w:val="none" w:sz="0" w:space="0" w:color="auto"/>
      </w:divBdr>
    </w:div>
    <w:div w:id="1799373750">
      <w:bodyDiv w:val="1"/>
      <w:marLeft w:val="0"/>
      <w:marRight w:val="0"/>
      <w:marTop w:val="0"/>
      <w:marBottom w:val="0"/>
      <w:divBdr>
        <w:top w:val="none" w:sz="0" w:space="0" w:color="auto"/>
        <w:left w:val="none" w:sz="0" w:space="0" w:color="auto"/>
        <w:bottom w:val="none" w:sz="0" w:space="0" w:color="auto"/>
        <w:right w:val="none" w:sz="0" w:space="0" w:color="auto"/>
      </w:divBdr>
    </w:div>
    <w:div w:id="1807161152">
      <w:bodyDiv w:val="1"/>
      <w:marLeft w:val="0"/>
      <w:marRight w:val="0"/>
      <w:marTop w:val="0"/>
      <w:marBottom w:val="0"/>
      <w:divBdr>
        <w:top w:val="none" w:sz="0" w:space="0" w:color="auto"/>
        <w:left w:val="none" w:sz="0" w:space="0" w:color="auto"/>
        <w:bottom w:val="none" w:sz="0" w:space="0" w:color="auto"/>
        <w:right w:val="none" w:sz="0" w:space="0" w:color="auto"/>
      </w:divBdr>
      <w:divsChild>
        <w:div w:id="2104839446">
          <w:marLeft w:val="0"/>
          <w:marRight w:val="0"/>
          <w:marTop w:val="0"/>
          <w:marBottom w:val="0"/>
          <w:divBdr>
            <w:top w:val="none" w:sz="0" w:space="0" w:color="auto"/>
            <w:left w:val="none" w:sz="0" w:space="0" w:color="auto"/>
            <w:bottom w:val="none" w:sz="0" w:space="0" w:color="auto"/>
            <w:right w:val="none" w:sz="0" w:space="0" w:color="auto"/>
          </w:divBdr>
          <w:divsChild>
            <w:div w:id="2219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2884">
      <w:bodyDiv w:val="1"/>
      <w:marLeft w:val="0"/>
      <w:marRight w:val="0"/>
      <w:marTop w:val="0"/>
      <w:marBottom w:val="0"/>
      <w:divBdr>
        <w:top w:val="none" w:sz="0" w:space="0" w:color="auto"/>
        <w:left w:val="none" w:sz="0" w:space="0" w:color="auto"/>
        <w:bottom w:val="none" w:sz="0" w:space="0" w:color="auto"/>
        <w:right w:val="none" w:sz="0" w:space="0" w:color="auto"/>
      </w:divBdr>
    </w:div>
    <w:div w:id="1845321894">
      <w:bodyDiv w:val="1"/>
      <w:marLeft w:val="0"/>
      <w:marRight w:val="0"/>
      <w:marTop w:val="0"/>
      <w:marBottom w:val="0"/>
      <w:divBdr>
        <w:top w:val="none" w:sz="0" w:space="0" w:color="auto"/>
        <w:left w:val="none" w:sz="0" w:space="0" w:color="auto"/>
        <w:bottom w:val="none" w:sz="0" w:space="0" w:color="auto"/>
        <w:right w:val="none" w:sz="0" w:space="0" w:color="auto"/>
      </w:divBdr>
    </w:div>
    <w:div w:id="1968468226">
      <w:bodyDiv w:val="1"/>
      <w:marLeft w:val="0"/>
      <w:marRight w:val="0"/>
      <w:marTop w:val="0"/>
      <w:marBottom w:val="0"/>
      <w:divBdr>
        <w:top w:val="none" w:sz="0" w:space="0" w:color="auto"/>
        <w:left w:val="none" w:sz="0" w:space="0" w:color="auto"/>
        <w:bottom w:val="none" w:sz="0" w:space="0" w:color="auto"/>
        <w:right w:val="none" w:sz="0" w:space="0" w:color="auto"/>
      </w:divBdr>
    </w:div>
    <w:div w:id="1994528058">
      <w:bodyDiv w:val="1"/>
      <w:marLeft w:val="0"/>
      <w:marRight w:val="0"/>
      <w:marTop w:val="0"/>
      <w:marBottom w:val="0"/>
      <w:divBdr>
        <w:top w:val="none" w:sz="0" w:space="0" w:color="auto"/>
        <w:left w:val="none" w:sz="0" w:space="0" w:color="auto"/>
        <w:bottom w:val="none" w:sz="0" w:space="0" w:color="auto"/>
        <w:right w:val="none" w:sz="0" w:space="0" w:color="auto"/>
      </w:divBdr>
    </w:div>
    <w:div w:id="20334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DFA17D-D233-4304-9D4F-235A896046E5}" type="doc">
      <dgm:prSet loTypeId="urn:microsoft.com/office/officeart/2005/8/layout/process5" loCatId="process" qsTypeId="urn:microsoft.com/office/officeart/2005/8/quickstyle/3d1" qsCatId="3D" csTypeId="urn:microsoft.com/office/officeart/2005/8/colors/colorful2" csCatId="colorful" phldr="1"/>
      <dgm:spPr/>
      <dgm:t>
        <a:bodyPr/>
        <a:lstStyle/>
        <a:p>
          <a:endParaRPr lang="es-MX"/>
        </a:p>
      </dgm:t>
    </dgm:pt>
    <dgm:pt modelId="{4F07769A-6DB5-4F52-AEED-EDE65F52218A}">
      <dgm:prSet phldrT="[Texto]"/>
      <dgm:spPr>
        <a:solidFill>
          <a:schemeClr val="bg1">
            <a:lumMod val="65000"/>
          </a:schemeClr>
        </a:solidFill>
      </dgm:spPr>
      <dgm:t>
        <a:bodyPr/>
        <a:lstStyle/>
        <a:p>
          <a:r>
            <a:rPr lang="es-MX" dirty="0" smtClean="0"/>
            <a:t>1. Seguridad pública</a:t>
          </a:r>
          <a:endParaRPr lang="es-MX" dirty="0"/>
        </a:p>
      </dgm:t>
    </dgm:pt>
    <dgm:pt modelId="{841D2811-470A-47F3-9EAF-FBF1A0E8CD7B}" type="parTrans" cxnId="{76BFD12D-0A3D-4F15-AAD3-F8467ACB3683}">
      <dgm:prSet/>
      <dgm:spPr/>
      <dgm:t>
        <a:bodyPr/>
        <a:lstStyle/>
        <a:p>
          <a:endParaRPr lang="es-MX"/>
        </a:p>
      </dgm:t>
    </dgm:pt>
    <dgm:pt modelId="{5881B22E-DC33-44AD-AE35-BFA4A9216D03}" type="sibTrans" cxnId="{76BFD12D-0A3D-4F15-AAD3-F8467ACB3683}">
      <dgm:prSet/>
      <dgm:spPr>
        <a:solidFill>
          <a:schemeClr val="bg1">
            <a:lumMod val="65000"/>
          </a:schemeClr>
        </a:solidFill>
      </dgm:spPr>
      <dgm:t>
        <a:bodyPr/>
        <a:lstStyle/>
        <a:p>
          <a:endParaRPr lang="es-MX"/>
        </a:p>
      </dgm:t>
    </dgm:pt>
    <dgm:pt modelId="{4902926E-C3EB-47C2-B18A-82768CFA14DE}">
      <dgm:prSet phldrT="[Texto]"/>
      <dgm:spPr>
        <a:solidFill>
          <a:schemeClr val="bg1">
            <a:lumMod val="65000"/>
          </a:schemeClr>
        </a:solidFill>
      </dgm:spPr>
      <dgm:t>
        <a:bodyPr/>
        <a:lstStyle/>
        <a:p>
          <a:r>
            <a:rPr lang="es-MX" dirty="0" smtClean="0"/>
            <a:t>Prevención y reacción del cuerpo de seguridad.</a:t>
          </a:r>
          <a:endParaRPr lang="es-MX" dirty="0"/>
        </a:p>
      </dgm:t>
    </dgm:pt>
    <dgm:pt modelId="{34552E11-BD90-4667-8B06-B15BAD267643}" type="parTrans" cxnId="{F5227276-2B7B-41FC-9434-8AE23F3C9ABF}">
      <dgm:prSet/>
      <dgm:spPr/>
      <dgm:t>
        <a:bodyPr/>
        <a:lstStyle/>
        <a:p>
          <a:endParaRPr lang="es-MX"/>
        </a:p>
      </dgm:t>
    </dgm:pt>
    <dgm:pt modelId="{3D208695-2372-4A40-9330-20527671BE46}" type="sibTrans" cxnId="{F5227276-2B7B-41FC-9434-8AE23F3C9ABF}">
      <dgm:prSet/>
      <dgm:spPr/>
      <dgm:t>
        <a:bodyPr/>
        <a:lstStyle/>
        <a:p>
          <a:endParaRPr lang="es-MX"/>
        </a:p>
      </dgm:t>
    </dgm:pt>
    <dgm:pt modelId="{839BDFB5-6421-4C6D-BBD2-8F1DD7EDB73B}">
      <dgm:prSet phldrT="[Texto]"/>
      <dgm:spPr/>
      <dgm:t>
        <a:bodyPr/>
        <a:lstStyle/>
        <a:p>
          <a:r>
            <a:rPr lang="es-MX" dirty="0" smtClean="0"/>
            <a:t>2. Obras Públicas e Infraestructura </a:t>
          </a:r>
          <a:endParaRPr lang="es-MX" dirty="0"/>
        </a:p>
      </dgm:t>
    </dgm:pt>
    <dgm:pt modelId="{D216B310-9A59-4B2D-A0FE-D9763CA0A977}" type="parTrans" cxnId="{3F83D88C-5A04-40EA-8781-5660CC2241FE}">
      <dgm:prSet/>
      <dgm:spPr/>
      <dgm:t>
        <a:bodyPr/>
        <a:lstStyle/>
        <a:p>
          <a:endParaRPr lang="es-MX"/>
        </a:p>
      </dgm:t>
    </dgm:pt>
    <dgm:pt modelId="{F96D3607-4047-4674-89D3-566FFD228B0D}" type="sibTrans" cxnId="{3F83D88C-5A04-40EA-8781-5660CC2241FE}">
      <dgm:prSet/>
      <dgm:spPr/>
      <dgm:t>
        <a:bodyPr/>
        <a:lstStyle/>
        <a:p>
          <a:endParaRPr lang="es-MX"/>
        </a:p>
      </dgm:t>
    </dgm:pt>
    <dgm:pt modelId="{1C0D1205-A8B7-4E30-8904-0D620A74A167}">
      <dgm:prSet phldrT="[Texto]"/>
      <dgm:spPr/>
      <dgm:t>
        <a:bodyPr/>
        <a:lstStyle/>
        <a:p>
          <a:r>
            <a:rPr lang="es-MX" dirty="0" smtClean="0"/>
            <a:t>Mantenimiento y expansión de la infraestructura</a:t>
          </a:r>
          <a:endParaRPr lang="es-MX" dirty="0"/>
        </a:p>
      </dgm:t>
    </dgm:pt>
    <dgm:pt modelId="{C1268D36-36D1-412B-B5DE-46D074964A24}" type="parTrans" cxnId="{16185D14-144B-4564-8551-8A91F42F04BB}">
      <dgm:prSet/>
      <dgm:spPr/>
      <dgm:t>
        <a:bodyPr/>
        <a:lstStyle/>
        <a:p>
          <a:endParaRPr lang="es-MX"/>
        </a:p>
      </dgm:t>
    </dgm:pt>
    <dgm:pt modelId="{D2C177C9-9B02-4814-A97D-48414D39DCE5}" type="sibTrans" cxnId="{16185D14-144B-4564-8551-8A91F42F04BB}">
      <dgm:prSet/>
      <dgm:spPr/>
      <dgm:t>
        <a:bodyPr/>
        <a:lstStyle/>
        <a:p>
          <a:endParaRPr lang="es-MX"/>
        </a:p>
      </dgm:t>
    </dgm:pt>
    <dgm:pt modelId="{7BC29A5D-9C57-4B3D-BE66-84C810C7B46E}">
      <dgm:prSet phldrT="[Texto]"/>
      <dgm:spPr/>
      <dgm:t>
        <a:bodyPr/>
        <a:lstStyle/>
        <a:p>
          <a:r>
            <a:rPr lang="es-MX" dirty="0" smtClean="0"/>
            <a:t>3. Protección civil y Bomberos</a:t>
          </a:r>
          <a:endParaRPr lang="es-MX" dirty="0"/>
        </a:p>
      </dgm:t>
    </dgm:pt>
    <dgm:pt modelId="{0E455AD6-B323-4AD3-B0F8-79B6FCB47223}" type="parTrans" cxnId="{F2C00087-3FD8-4E24-BA0D-BEB269B01D10}">
      <dgm:prSet/>
      <dgm:spPr/>
      <dgm:t>
        <a:bodyPr/>
        <a:lstStyle/>
        <a:p>
          <a:endParaRPr lang="es-MX"/>
        </a:p>
      </dgm:t>
    </dgm:pt>
    <dgm:pt modelId="{5C758C42-57B2-4BFB-8DDE-219100DFC1AE}" type="sibTrans" cxnId="{F2C00087-3FD8-4E24-BA0D-BEB269B01D10}">
      <dgm:prSet/>
      <dgm:spPr>
        <a:solidFill>
          <a:schemeClr val="accent6">
            <a:lumMod val="75000"/>
          </a:schemeClr>
        </a:solidFill>
      </dgm:spPr>
      <dgm:t>
        <a:bodyPr/>
        <a:lstStyle/>
        <a:p>
          <a:endParaRPr lang="es-MX"/>
        </a:p>
      </dgm:t>
    </dgm:pt>
    <dgm:pt modelId="{05C767BE-C157-46C2-AE02-9BE5B255AAE7}">
      <dgm:prSet phldrT="[Texto]"/>
      <dgm:spPr/>
      <dgm:t>
        <a:bodyPr/>
        <a:lstStyle/>
        <a:p>
          <a:r>
            <a:rPr lang="es-MX" dirty="0" smtClean="0"/>
            <a:t>Fortalecimiento de la cultura de protección civil y equipamiento.</a:t>
          </a:r>
          <a:endParaRPr lang="es-MX" dirty="0"/>
        </a:p>
      </dgm:t>
    </dgm:pt>
    <dgm:pt modelId="{FB6750B2-A7D6-488E-B95F-14783D8C9618}" type="parTrans" cxnId="{795F8772-736F-4FE4-A612-97D3A27AD5B0}">
      <dgm:prSet/>
      <dgm:spPr/>
      <dgm:t>
        <a:bodyPr/>
        <a:lstStyle/>
        <a:p>
          <a:endParaRPr lang="es-MX"/>
        </a:p>
      </dgm:t>
    </dgm:pt>
    <dgm:pt modelId="{06F075BB-33A9-471A-BC17-868B9D91EA1E}" type="sibTrans" cxnId="{795F8772-736F-4FE4-A612-97D3A27AD5B0}">
      <dgm:prSet/>
      <dgm:spPr/>
      <dgm:t>
        <a:bodyPr/>
        <a:lstStyle/>
        <a:p>
          <a:endParaRPr lang="es-MX"/>
        </a:p>
      </dgm:t>
    </dgm:pt>
    <dgm:pt modelId="{8FDC2A6E-CE36-4F25-814F-B7B79F408C89}">
      <dgm:prSet phldrT="[Texto]"/>
      <dgm:spPr>
        <a:solidFill>
          <a:schemeClr val="accent6">
            <a:lumMod val="75000"/>
          </a:schemeClr>
        </a:solidFill>
      </dgm:spPr>
      <dgm:t>
        <a:bodyPr/>
        <a:lstStyle/>
        <a:p>
          <a:r>
            <a:rPr lang="es-MX" dirty="0" smtClean="0"/>
            <a:t>4. Servicios públicos municipales</a:t>
          </a:r>
          <a:endParaRPr lang="es-MX" dirty="0"/>
        </a:p>
      </dgm:t>
    </dgm:pt>
    <dgm:pt modelId="{C5425EC6-C38B-440C-9860-09D64D50C11C}" type="parTrans" cxnId="{DDCE4A06-F242-4903-B657-AD42E5FE2799}">
      <dgm:prSet/>
      <dgm:spPr/>
      <dgm:t>
        <a:bodyPr/>
        <a:lstStyle/>
        <a:p>
          <a:endParaRPr lang="es-MX"/>
        </a:p>
      </dgm:t>
    </dgm:pt>
    <dgm:pt modelId="{1AE8FDF2-1B49-47D2-9569-3666ACAFF241}" type="sibTrans" cxnId="{DDCE4A06-F242-4903-B657-AD42E5FE2799}">
      <dgm:prSet/>
      <dgm:spPr/>
      <dgm:t>
        <a:bodyPr/>
        <a:lstStyle/>
        <a:p>
          <a:endParaRPr lang="es-MX"/>
        </a:p>
      </dgm:t>
    </dgm:pt>
    <dgm:pt modelId="{1C067925-7FB2-49E6-98E6-45A6241A13BF}">
      <dgm:prSet phldrT="[Texto]"/>
      <dgm:spPr>
        <a:solidFill>
          <a:schemeClr val="accent6">
            <a:lumMod val="75000"/>
          </a:schemeClr>
        </a:solidFill>
      </dgm:spPr>
      <dgm:t>
        <a:bodyPr/>
        <a:lstStyle/>
        <a:p>
          <a:r>
            <a:rPr lang="es-MX" dirty="0" smtClean="0"/>
            <a:t>Mejoramiento de los servicios </a:t>
          </a:r>
          <a:endParaRPr lang="es-MX" dirty="0"/>
        </a:p>
      </dgm:t>
    </dgm:pt>
    <dgm:pt modelId="{24CDE311-D2BB-4539-9C75-F7CFE4454841}" type="parTrans" cxnId="{4279C462-EF96-47AB-9475-DA3AEBDA4067}">
      <dgm:prSet/>
      <dgm:spPr/>
      <dgm:t>
        <a:bodyPr/>
        <a:lstStyle/>
        <a:p>
          <a:endParaRPr lang="es-MX"/>
        </a:p>
      </dgm:t>
    </dgm:pt>
    <dgm:pt modelId="{43D2BCC2-16FA-491A-98AC-0D8D5A4BFDA2}" type="sibTrans" cxnId="{4279C462-EF96-47AB-9475-DA3AEBDA4067}">
      <dgm:prSet/>
      <dgm:spPr/>
      <dgm:t>
        <a:bodyPr/>
        <a:lstStyle/>
        <a:p>
          <a:endParaRPr lang="es-MX"/>
        </a:p>
      </dgm:t>
    </dgm:pt>
    <dgm:pt modelId="{985D69CE-143F-420C-9C8A-80240E6A24CD}">
      <dgm:prSet phldrT="[Texto]"/>
      <dgm:spPr>
        <a:solidFill>
          <a:schemeClr val="accent6">
            <a:lumMod val="75000"/>
          </a:schemeClr>
        </a:solidFill>
      </dgm:spPr>
      <dgm:t>
        <a:bodyPr/>
        <a:lstStyle/>
        <a:p>
          <a:r>
            <a:rPr lang="es-MX" dirty="0" smtClean="0"/>
            <a:t>Ampliar la cobertura </a:t>
          </a:r>
          <a:endParaRPr lang="es-MX" dirty="0"/>
        </a:p>
      </dgm:t>
    </dgm:pt>
    <dgm:pt modelId="{CDFB37B9-3978-4D1F-BD26-75CD50B201B9}" type="parTrans" cxnId="{C58F3577-5456-4ACB-A0D7-3FD0DCBED119}">
      <dgm:prSet/>
      <dgm:spPr/>
      <dgm:t>
        <a:bodyPr/>
        <a:lstStyle/>
        <a:p>
          <a:endParaRPr lang="es-MX"/>
        </a:p>
      </dgm:t>
    </dgm:pt>
    <dgm:pt modelId="{BF08BE04-6C06-462F-B029-371860BED913}" type="sibTrans" cxnId="{C58F3577-5456-4ACB-A0D7-3FD0DCBED119}">
      <dgm:prSet/>
      <dgm:spPr/>
      <dgm:t>
        <a:bodyPr/>
        <a:lstStyle/>
        <a:p>
          <a:endParaRPr lang="es-MX"/>
        </a:p>
      </dgm:t>
    </dgm:pt>
    <dgm:pt modelId="{54B2906B-2B8A-4E08-A290-1EB7662C2C99}">
      <dgm:prSet phldrT="[Texto]"/>
      <dgm:spPr>
        <a:solidFill>
          <a:schemeClr val="bg1">
            <a:lumMod val="65000"/>
          </a:schemeClr>
        </a:solidFill>
      </dgm:spPr>
      <dgm:t>
        <a:bodyPr/>
        <a:lstStyle/>
        <a:p>
          <a:r>
            <a:rPr lang="es-MX" dirty="0" smtClean="0"/>
            <a:t>Equipamiento</a:t>
          </a:r>
          <a:endParaRPr lang="es-MX" dirty="0"/>
        </a:p>
      </dgm:t>
    </dgm:pt>
    <dgm:pt modelId="{B0967FB4-D913-4019-9166-FDE5ADCCA9C3}" type="parTrans" cxnId="{93EE304E-A575-4653-B819-475BB2282DB6}">
      <dgm:prSet/>
      <dgm:spPr/>
      <dgm:t>
        <a:bodyPr/>
        <a:lstStyle/>
        <a:p>
          <a:endParaRPr lang="es-MX"/>
        </a:p>
      </dgm:t>
    </dgm:pt>
    <dgm:pt modelId="{5A75D16E-D86E-4D59-98DD-665A1E3E5992}" type="sibTrans" cxnId="{93EE304E-A575-4653-B819-475BB2282DB6}">
      <dgm:prSet/>
      <dgm:spPr/>
      <dgm:t>
        <a:bodyPr/>
        <a:lstStyle/>
        <a:p>
          <a:endParaRPr lang="es-MX"/>
        </a:p>
      </dgm:t>
    </dgm:pt>
    <dgm:pt modelId="{65953B77-7226-4A10-B499-9DB532F1D511}" type="pres">
      <dgm:prSet presAssocID="{89DFA17D-D233-4304-9D4F-235A896046E5}" presName="diagram" presStyleCnt="0">
        <dgm:presLayoutVars>
          <dgm:dir/>
          <dgm:resizeHandles val="exact"/>
        </dgm:presLayoutVars>
      </dgm:prSet>
      <dgm:spPr/>
      <dgm:t>
        <a:bodyPr/>
        <a:lstStyle/>
        <a:p>
          <a:endParaRPr lang="es-CL"/>
        </a:p>
      </dgm:t>
    </dgm:pt>
    <dgm:pt modelId="{74089670-5F32-40CE-BE2E-36B068556253}" type="pres">
      <dgm:prSet presAssocID="{4F07769A-6DB5-4F52-AEED-EDE65F52218A}" presName="node" presStyleLbl="node1" presStyleIdx="0" presStyleCnt="4">
        <dgm:presLayoutVars>
          <dgm:bulletEnabled val="1"/>
        </dgm:presLayoutVars>
      </dgm:prSet>
      <dgm:spPr/>
      <dgm:t>
        <a:bodyPr/>
        <a:lstStyle/>
        <a:p>
          <a:endParaRPr lang="es-MX"/>
        </a:p>
      </dgm:t>
    </dgm:pt>
    <dgm:pt modelId="{71132288-16DA-45EB-B020-63F0AACDEA5F}" type="pres">
      <dgm:prSet presAssocID="{5881B22E-DC33-44AD-AE35-BFA4A9216D03}" presName="sibTrans" presStyleLbl="sibTrans2D1" presStyleIdx="0" presStyleCnt="3"/>
      <dgm:spPr/>
      <dgm:t>
        <a:bodyPr/>
        <a:lstStyle/>
        <a:p>
          <a:endParaRPr lang="es-CL"/>
        </a:p>
      </dgm:t>
    </dgm:pt>
    <dgm:pt modelId="{214D1C27-2230-4641-A20B-A4E078D838A0}" type="pres">
      <dgm:prSet presAssocID="{5881B22E-DC33-44AD-AE35-BFA4A9216D03}" presName="connectorText" presStyleLbl="sibTrans2D1" presStyleIdx="0" presStyleCnt="3"/>
      <dgm:spPr/>
      <dgm:t>
        <a:bodyPr/>
        <a:lstStyle/>
        <a:p>
          <a:endParaRPr lang="es-CL"/>
        </a:p>
      </dgm:t>
    </dgm:pt>
    <dgm:pt modelId="{5717603B-50E6-46F2-81E5-C6CC22435997}" type="pres">
      <dgm:prSet presAssocID="{839BDFB5-6421-4C6D-BBD2-8F1DD7EDB73B}" presName="node" presStyleLbl="node1" presStyleIdx="1" presStyleCnt="4">
        <dgm:presLayoutVars>
          <dgm:bulletEnabled val="1"/>
        </dgm:presLayoutVars>
      </dgm:prSet>
      <dgm:spPr/>
      <dgm:t>
        <a:bodyPr/>
        <a:lstStyle/>
        <a:p>
          <a:endParaRPr lang="es-MX"/>
        </a:p>
      </dgm:t>
    </dgm:pt>
    <dgm:pt modelId="{DA0201F0-FDE5-43AB-AC97-5A4B9E561FC2}" type="pres">
      <dgm:prSet presAssocID="{F96D3607-4047-4674-89D3-566FFD228B0D}" presName="sibTrans" presStyleLbl="sibTrans2D1" presStyleIdx="1" presStyleCnt="3"/>
      <dgm:spPr/>
      <dgm:t>
        <a:bodyPr/>
        <a:lstStyle/>
        <a:p>
          <a:endParaRPr lang="es-CL"/>
        </a:p>
      </dgm:t>
    </dgm:pt>
    <dgm:pt modelId="{33536568-4427-45EC-858E-B24925ED4F82}" type="pres">
      <dgm:prSet presAssocID="{F96D3607-4047-4674-89D3-566FFD228B0D}" presName="connectorText" presStyleLbl="sibTrans2D1" presStyleIdx="1" presStyleCnt="3"/>
      <dgm:spPr/>
      <dgm:t>
        <a:bodyPr/>
        <a:lstStyle/>
        <a:p>
          <a:endParaRPr lang="es-CL"/>
        </a:p>
      </dgm:t>
    </dgm:pt>
    <dgm:pt modelId="{854E4685-E7CD-4C3B-A556-0F86C525E810}" type="pres">
      <dgm:prSet presAssocID="{7BC29A5D-9C57-4B3D-BE66-84C810C7B46E}" presName="node" presStyleLbl="node1" presStyleIdx="2" presStyleCnt="4">
        <dgm:presLayoutVars>
          <dgm:bulletEnabled val="1"/>
        </dgm:presLayoutVars>
      </dgm:prSet>
      <dgm:spPr/>
      <dgm:t>
        <a:bodyPr/>
        <a:lstStyle/>
        <a:p>
          <a:endParaRPr lang="es-MX"/>
        </a:p>
      </dgm:t>
    </dgm:pt>
    <dgm:pt modelId="{E766FD27-22A4-452D-80C2-E2DB158792DE}" type="pres">
      <dgm:prSet presAssocID="{5C758C42-57B2-4BFB-8DDE-219100DFC1AE}" presName="sibTrans" presStyleLbl="sibTrans2D1" presStyleIdx="2" presStyleCnt="3"/>
      <dgm:spPr/>
      <dgm:t>
        <a:bodyPr/>
        <a:lstStyle/>
        <a:p>
          <a:endParaRPr lang="es-CL"/>
        </a:p>
      </dgm:t>
    </dgm:pt>
    <dgm:pt modelId="{379D5DAD-4AE9-430D-8C17-DE16DDE1801D}" type="pres">
      <dgm:prSet presAssocID="{5C758C42-57B2-4BFB-8DDE-219100DFC1AE}" presName="connectorText" presStyleLbl="sibTrans2D1" presStyleIdx="2" presStyleCnt="3"/>
      <dgm:spPr/>
      <dgm:t>
        <a:bodyPr/>
        <a:lstStyle/>
        <a:p>
          <a:endParaRPr lang="es-CL"/>
        </a:p>
      </dgm:t>
    </dgm:pt>
    <dgm:pt modelId="{46F89A08-EA9D-412C-8B3C-CDAEE1A36F92}" type="pres">
      <dgm:prSet presAssocID="{8FDC2A6E-CE36-4F25-814F-B7B79F408C89}" presName="node" presStyleLbl="node1" presStyleIdx="3" presStyleCnt="4">
        <dgm:presLayoutVars>
          <dgm:bulletEnabled val="1"/>
        </dgm:presLayoutVars>
      </dgm:prSet>
      <dgm:spPr/>
      <dgm:t>
        <a:bodyPr/>
        <a:lstStyle/>
        <a:p>
          <a:endParaRPr lang="es-MX"/>
        </a:p>
      </dgm:t>
    </dgm:pt>
  </dgm:ptLst>
  <dgm:cxnLst>
    <dgm:cxn modelId="{F2C00087-3FD8-4E24-BA0D-BEB269B01D10}" srcId="{89DFA17D-D233-4304-9D4F-235A896046E5}" destId="{7BC29A5D-9C57-4B3D-BE66-84C810C7B46E}" srcOrd="2" destOrd="0" parTransId="{0E455AD6-B323-4AD3-B0F8-79B6FCB47223}" sibTransId="{5C758C42-57B2-4BFB-8DDE-219100DFC1AE}"/>
    <dgm:cxn modelId="{4279C462-EF96-47AB-9475-DA3AEBDA4067}" srcId="{8FDC2A6E-CE36-4F25-814F-B7B79F408C89}" destId="{1C067925-7FB2-49E6-98E6-45A6241A13BF}" srcOrd="0" destOrd="0" parTransId="{24CDE311-D2BB-4539-9C75-F7CFE4454841}" sibTransId="{43D2BCC2-16FA-491A-98AC-0D8D5A4BFDA2}"/>
    <dgm:cxn modelId="{15CB8589-8CCD-4191-96DB-B441E8DE756A}" type="presOf" srcId="{89DFA17D-D233-4304-9D4F-235A896046E5}" destId="{65953B77-7226-4A10-B499-9DB532F1D511}" srcOrd="0" destOrd="0" presId="urn:microsoft.com/office/officeart/2005/8/layout/process5"/>
    <dgm:cxn modelId="{939B64DA-92C5-4FDB-ADA1-872C7C299549}" type="presOf" srcId="{4F07769A-6DB5-4F52-AEED-EDE65F52218A}" destId="{74089670-5F32-40CE-BE2E-36B068556253}" srcOrd="0" destOrd="0" presId="urn:microsoft.com/office/officeart/2005/8/layout/process5"/>
    <dgm:cxn modelId="{F0E02C3A-7250-40F5-ADEF-0B67E9057834}" type="presOf" srcId="{5881B22E-DC33-44AD-AE35-BFA4A9216D03}" destId="{214D1C27-2230-4641-A20B-A4E078D838A0}" srcOrd="1" destOrd="0" presId="urn:microsoft.com/office/officeart/2005/8/layout/process5"/>
    <dgm:cxn modelId="{5CA63FF6-1334-4E7E-A251-04F57EBD2223}" type="presOf" srcId="{1C067925-7FB2-49E6-98E6-45A6241A13BF}" destId="{46F89A08-EA9D-412C-8B3C-CDAEE1A36F92}" srcOrd="0" destOrd="1" presId="urn:microsoft.com/office/officeart/2005/8/layout/process5"/>
    <dgm:cxn modelId="{3F83D88C-5A04-40EA-8781-5660CC2241FE}" srcId="{89DFA17D-D233-4304-9D4F-235A896046E5}" destId="{839BDFB5-6421-4C6D-BBD2-8F1DD7EDB73B}" srcOrd="1" destOrd="0" parTransId="{D216B310-9A59-4B2D-A0FE-D9763CA0A977}" sibTransId="{F96D3607-4047-4674-89D3-566FFD228B0D}"/>
    <dgm:cxn modelId="{82F6C110-4B79-45F0-94AD-38DD62DF7F45}" type="presOf" srcId="{985D69CE-143F-420C-9C8A-80240E6A24CD}" destId="{46F89A08-EA9D-412C-8B3C-CDAEE1A36F92}" srcOrd="0" destOrd="2" presId="urn:microsoft.com/office/officeart/2005/8/layout/process5"/>
    <dgm:cxn modelId="{AF9EC7CD-5310-480F-B772-CE298064C8E2}" type="presOf" srcId="{8FDC2A6E-CE36-4F25-814F-B7B79F408C89}" destId="{46F89A08-EA9D-412C-8B3C-CDAEE1A36F92}" srcOrd="0" destOrd="0" presId="urn:microsoft.com/office/officeart/2005/8/layout/process5"/>
    <dgm:cxn modelId="{6C746872-0244-4212-88B4-CA99665D2441}" type="presOf" srcId="{F96D3607-4047-4674-89D3-566FFD228B0D}" destId="{DA0201F0-FDE5-43AB-AC97-5A4B9E561FC2}" srcOrd="0" destOrd="0" presId="urn:microsoft.com/office/officeart/2005/8/layout/process5"/>
    <dgm:cxn modelId="{F5227276-2B7B-41FC-9434-8AE23F3C9ABF}" srcId="{4F07769A-6DB5-4F52-AEED-EDE65F52218A}" destId="{4902926E-C3EB-47C2-B18A-82768CFA14DE}" srcOrd="0" destOrd="0" parTransId="{34552E11-BD90-4667-8B06-B15BAD267643}" sibTransId="{3D208695-2372-4A40-9330-20527671BE46}"/>
    <dgm:cxn modelId="{16185D14-144B-4564-8551-8A91F42F04BB}" srcId="{839BDFB5-6421-4C6D-BBD2-8F1DD7EDB73B}" destId="{1C0D1205-A8B7-4E30-8904-0D620A74A167}" srcOrd="0" destOrd="0" parTransId="{C1268D36-36D1-412B-B5DE-46D074964A24}" sibTransId="{D2C177C9-9B02-4814-A97D-48414D39DCE5}"/>
    <dgm:cxn modelId="{D8D9BBD3-9729-4675-94D0-1C6AEB69FEB5}" type="presOf" srcId="{1C0D1205-A8B7-4E30-8904-0D620A74A167}" destId="{5717603B-50E6-46F2-81E5-C6CC22435997}" srcOrd="0" destOrd="1" presId="urn:microsoft.com/office/officeart/2005/8/layout/process5"/>
    <dgm:cxn modelId="{3C7F1958-AD7A-40DA-A2F0-CA59C3F0CD17}" type="presOf" srcId="{F96D3607-4047-4674-89D3-566FFD228B0D}" destId="{33536568-4427-45EC-858E-B24925ED4F82}" srcOrd="1" destOrd="0" presId="urn:microsoft.com/office/officeart/2005/8/layout/process5"/>
    <dgm:cxn modelId="{9BE67D8F-E233-47A6-9D89-EC4B091A84EF}" type="presOf" srcId="{05C767BE-C157-46C2-AE02-9BE5B255AAE7}" destId="{854E4685-E7CD-4C3B-A556-0F86C525E810}" srcOrd="0" destOrd="1" presId="urn:microsoft.com/office/officeart/2005/8/layout/process5"/>
    <dgm:cxn modelId="{CE90EC86-B5D0-4E8C-B226-93E2DD11CDA5}" type="presOf" srcId="{5C758C42-57B2-4BFB-8DDE-219100DFC1AE}" destId="{379D5DAD-4AE9-430D-8C17-DE16DDE1801D}" srcOrd="1" destOrd="0" presId="urn:microsoft.com/office/officeart/2005/8/layout/process5"/>
    <dgm:cxn modelId="{93EE304E-A575-4653-B819-475BB2282DB6}" srcId="{4F07769A-6DB5-4F52-AEED-EDE65F52218A}" destId="{54B2906B-2B8A-4E08-A290-1EB7662C2C99}" srcOrd="1" destOrd="0" parTransId="{B0967FB4-D913-4019-9166-FDE5ADCCA9C3}" sibTransId="{5A75D16E-D86E-4D59-98DD-665A1E3E5992}"/>
    <dgm:cxn modelId="{C58F3577-5456-4ACB-A0D7-3FD0DCBED119}" srcId="{8FDC2A6E-CE36-4F25-814F-B7B79F408C89}" destId="{985D69CE-143F-420C-9C8A-80240E6A24CD}" srcOrd="1" destOrd="0" parTransId="{CDFB37B9-3978-4D1F-BD26-75CD50B201B9}" sibTransId="{BF08BE04-6C06-462F-B029-371860BED913}"/>
    <dgm:cxn modelId="{58008BDA-675D-4EC9-905B-D8391B7D2CC9}" type="presOf" srcId="{7BC29A5D-9C57-4B3D-BE66-84C810C7B46E}" destId="{854E4685-E7CD-4C3B-A556-0F86C525E810}" srcOrd="0" destOrd="0" presId="urn:microsoft.com/office/officeart/2005/8/layout/process5"/>
    <dgm:cxn modelId="{795F8772-736F-4FE4-A612-97D3A27AD5B0}" srcId="{7BC29A5D-9C57-4B3D-BE66-84C810C7B46E}" destId="{05C767BE-C157-46C2-AE02-9BE5B255AAE7}" srcOrd="0" destOrd="0" parTransId="{FB6750B2-A7D6-488E-B95F-14783D8C9618}" sibTransId="{06F075BB-33A9-471A-BC17-868B9D91EA1E}"/>
    <dgm:cxn modelId="{A85D31DA-73F2-41D8-BDEF-F08793E78927}" type="presOf" srcId="{5C758C42-57B2-4BFB-8DDE-219100DFC1AE}" destId="{E766FD27-22A4-452D-80C2-E2DB158792DE}" srcOrd="0" destOrd="0" presId="urn:microsoft.com/office/officeart/2005/8/layout/process5"/>
    <dgm:cxn modelId="{118C356E-9B95-4460-B3A8-1A2257433269}" type="presOf" srcId="{54B2906B-2B8A-4E08-A290-1EB7662C2C99}" destId="{74089670-5F32-40CE-BE2E-36B068556253}" srcOrd="0" destOrd="2" presId="urn:microsoft.com/office/officeart/2005/8/layout/process5"/>
    <dgm:cxn modelId="{2EF8BEBB-1D3C-47B7-9B09-EA8568982D7C}" type="presOf" srcId="{4902926E-C3EB-47C2-B18A-82768CFA14DE}" destId="{74089670-5F32-40CE-BE2E-36B068556253}" srcOrd="0" destOrd="1" presId="urn:microsoft.com/office/officeart/2005/8/layout/process5"/>
    <dgm:cxn modelId="{FF2E0AC1-8138-499C-A7B5-4C2E5828ACA7}" type="presOf" srcId="{5881B22E-DC33-44AD-AE35-BFA4A9216D03}" destId="{71132288-16DA-45EB-B020-63F0AACDEA5F}" srcOrd="0" destOrd="0" presId="urn:microsoft.com/office/officeart/2005/8/layout/process5"/>
    <dgm:cxn modelId="{00B024EE-1A0C-439D-A845-3999D52789AE}" type="presOf" srcId="{839BDFB5-6421-4C6D-BBD2-8F1DD7EDB73B}" destId="{5717603B-50E6-46F2-81E5-C6CC22435997}" srcOrd="0" destOrd="0" presId="urn:microsoft.com/office/officeart/2005/8/layout/process5"/>
    <dgm:cxn modelId="{DDCE4A06-F242-4903-B657-AD42E5FE2799}" srcId="{89DFA17D-D233-4304-9D4F-235A896046E5}" destId="{8FDC2A6E-CE36-4F25-814F-B7B79F408C89}" srcOrd="3" destOrd="0" parTransId="{C5425EC6-C38B-440C-9860-09D64D50C11C}" sibTransId="{1AE8FDF2-1B49-47D2-9569-3666ACAFF241}"/>
    <dgm:cxn modelId="{76BFD12D-0A3D-4F15-AAD3-F8467ACB3683}" srcId="{89DFA17D-D233-4304-9D4F-235A896046E5}" destId="{4F07769A-6DB5-4F52-AEED-EDE65F52218A}" srcOrd="0" destOrd="0" parTransId="{841D2811-470A-47F3-9EAF-FBF1A0E8CD7B}" sibTransId="{5881B22E-DC33-44AD-AE35-BFA4A9216D03}"/>
    <dgm:cxn modelId="{2C9A8828-BC9B-431C-B98D-DF49A38E1978}" type="presParOf" srcId="{65953B77-7226-4A10-B499-9DB532F1D511}" destId="{74089670-5F32-40CE-BE2E-36B068556253}" srcOrd="0" destOrd="0" presId="urn:microsoft.com/office/officeart/2005/8/layout/process5"/>
    <dgm:cxn modelId="{6EED9F78-3939-49E9-9FE1-F31D6347CCCC}" type="presParOf" srcId="{65953B77-7226-4A10-B499-9DB532F1D511}" destId="{71132288-16DA-45EB-B020-63F0AACDEA5F}" srcOrd="1" destOrd="0" presId="urn:microsoft.com/office/officeart/2005/8/layout/process5"/>
    <dgm:cxn modelId="{9D03E0E8-1926-4205-B5D5-F81331BD4EBC}" type="presParOf" srcId="{71132288-16DA-45EB-B020-63F0AACDEA5F}" destId="{214D1C27-2230-4641-A20B-A4E078D838A0}" srcOrd="0" destOrd="0" presId="urn:microsoft.com/office/officeart/2005/8/layout/process5"/>
    <dgm:cxn modelId="{D66EAA2F-3A2F-4A22-A84C-B12363EA7837}" type="presParOf" srcId="{65953B77-7226-4A10-B499-9DB532F1D511}" destId="{5717603B-50E6-46F2-81E5-C6CC22435997}" srcOrd="2" destOrd="0" presId="urn:microsoft.com/office/officeart/2005/8/layout/process5"/>
    <dgm:cxn modelId="{14E52873-2209-4520-A00B-8CEBCFAFD52A}" type="presParOf" srcId="{65953B77-7226-4A10-B499-9DB532F1D511}" destId="{DA0201F0-FDE5-43AB-AC97-5A4B9E561FC2}" srcOrd="3" destOrd="0" presId="urn:microsoft.com/office/officeart/2005/8/layout/process5"/>
    <dgm:cxn modelId="{1D8B0399-1D1B-4DC1-A7E9-7C6F18E41D09}" type="presParOf" srcId="{DA0201F0-FDE5-43AB-AC97-5A4B9E561FC2}" destId="{33536568-4427-45EC-858E-B24925ED4F82}" srcOrd="0" destOrd="0" presId="urn:microsoft.com/office/officeart/2005/8/layout/process5"/>
    <dgm:cxn modelId="{B353D41B-0B5D-47F7-BCE5-F7C3F89FF265}" type="presParOf" srcId="{65953B77-7226-4A10-B499-9DB532F1D511}" destId="{854E4685-E7CD-4C3B-A556-0F86C525E810}" srcOrd="4" destOrd="0" presId="urn:microsoft.com/office/officeart/2005/8/layout/process5"/>
    <dgm:cxn modelId="{42F6D28C-CD17-4998-BC40-8E2DC04E066B}" type="presParOf" srcId="{65953B77-7226-4A10-B499-9DB532F1D511}" destId="{E766FD27-22A4-452D-80C2-E2DB158792DE}" srcOrd="5" destOrd="0" presId="urn:microsoft.com/office/officeart/2005/8/layout/process5"/>
    <dgm:cxn modelId="{C4B08D08-EC54-48E4-9F5B-0D7F8176A2BA}" type="presParOf" srcId="{E766FD27-22A4-452D-80C2-E2DB158792DE}" destId="{379D5DAD-4AE9-430D-8C17-DE16DDE1801D}" srcOrd="0" destOrd="0" presId="urn:microsoft.com/office/officeart/2005/8/layout/process5"/>
    <dgm:cxn modelId="{B2E36DE5-B4AF-49DF-AA9B-ACB8AC199091}" type="presParOf" srcId="{65953B77-7226-4A10-B499-9DB532F1D511}" destId="{46F89A08-EA9D-412C-8B3C-CDAEE1A36F92}" srcOrd="6" destOrd="0" presId="urn:microsoft.com/office/officeart/2005/8/layout/process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089670-5F32-40CE-BE2E-36B068556253}">
      <dsp:nvSpPr>
        <dsp:cNvPr id="0" name=""/>
        <dsp:cNvSpPr/>
      </dsp:nvSpPr>
      <dsp:spPr>
        <a:xfrm>
          <a:off x="1096" y="186468"/>
          <a:ext cx="2337474" cy="1402484"/>
        </a:xfrm>
        <a:prstGeom prst="roundRect">
          <a:avLst>
            <a:gd name="adj" fmla="val 1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MX" sz="1700" kern="1200" dirty="0" smtClean="0"/>
            <a:t>1. Seguridad pública</a:t>
          </a:r>
          <a:endParaRPr lang="es-MX" sz="1700" kern="1200" dirty="0"/>
        </a:p>
        <a:p>
          <a:pPr marL="114300" lvl="1" indent="-114300" algn="l" defTabSz="577850">
            <a:lnSpc>
              <a:spcPct val="90000"/>
            </a:lnSpc>
            <a:spcBef>
              <a:spcPct val="0"/>
            </a:spcBef>
            <a:spcAft>
              <a:spcPct val="15000"/>
            </a:spcAft>
            <a:buChar char="••"/>
          </a:pPr>
          <a:r>
            <a:rPr lang="es-MX" sz="1300" kern="1200" dirty="0" smtClean="0"/>
            <a:t>Prevención y reacción del cuerpo de seguridad.</a:t>
          </a:r>
          <a:endParaRPr lang="es-MX" sz="1300" kern="1200" dirty="0"/>
        </a:p>
        <a:p>
          <a:pPr marL="114300" lvl="1" indent="-114300" algn="l" defTabSz="577850">
            <a:lnSpc>
              <a:spcPct val="90000"/>
            </a:lnSpc>
            <a:spcBef>
              <a:spcPct val="0"/>
            </a:spcBef>
            <a:spcAft>
              <a:spcPct val="15000"/>
            </a:spcAft>
            <a:buChar char="••"/>
          </a:pPr>
          <a:r>
            <a:rPr lang="es-MX" sz="1300" kern="1200" dirty="0" smtClean="0"/>
            <a:t>Equipamiento</a:t>
          </a:r>
          <a:endParaRPr lang="es-MX" sz="1300" kern="1200" dirty="0"/>
        </a:p>
      </dsp:txBody>
      <dsp:txXfrm>
        <a:off x="1096" y="186468"/>
        <a:ext cx="2337474" cy="1402484"/>
      </dsp:txXfrm>
    </dsp:sp>
    <dsp:sp modelId="{71132288-16DA-45EB-B020-63F0AACDEA5F}">
      <dsp:nvSpPr>
        <dsp:cNvPr id="0" name=""/>
        <dsp:cNvSpPr/>
      </dsp:nvSpPr>
      <dsp:spPr>
        <a:xfrm>
          <a:off x="2544267" y="597863"/>
          <a:ext cx="495544" cy="579693"/>
        </a:xfrm>
        <a:prstGeom prst="rightArrow">
          <a:avLst>
            <a:gd name="adj1" fmla="val 60000"/>
            <a:gd name="adj2" fmla="val 5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MX" sz="1400" kern="1200"/>
        </a:p>
      </dsp:txBody>
      <dsp:txXfrm>
        <a:off x="2544267" y="597863"/>
        <a:ext cx="495544" cy="579693"/>
      </dsp:txXfrm>
    </dsp:sp>
    <dsp:sp modelId="{5717603B-50E6-46F2-81E5-C6CC22435997}">
      <dsp:nvSpPr>
        <dsp:cNvPr id="0" name=""/>
        <dsp:cNvSpPr/>
      </dsp:nvSpPr>
      <dsp:spPr>
        <a:xfrm>
          <a:off x="3273559" y="186468"/>
          <a:ext cx="2337474" cy="1402484"/>
        </a:xfrm>
        <a:prstGeom prst="roundRect">
          <a:avLst>
            <a:gd name="adj" fmla="val 10000"/>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MX" sz="1700" kern="1200" dirty="0" smtClean="0"/>
            <a:t>2. Obras Públicas e Infraestructura </a:t>
          </a:r>
          <a:endParaRPr lang="es-MX" sz="1700" kern="1200" dirty="0"/>
        </a:p>
        <a:p>
          <a:pPr marL="114300" lvl="1" indent="-114300" algn="l" defTabSz="577850">
            <a:lnSpc>
              <a:spcPct val="90000"/>
            </a:lnSpc>
            <a:spcBef>
              <a:spcPct val="0"/>
            </a:spcBef>
            <a:spcAft>
              <a:spcPct val="15000"/>
            </a:spcAft>
            <a:buChar char="••"/>
          </a:pPr>
          <a:r>
            <a:rPr lang="es-MX" sz="1300" kern="1200" dirty="0" smtClean="0"/>
            <a:t>Mantenimiento y expansión de la infraestructura</a:t>
          </a:r>
          <a:endParaRPr lang="es-MX" sz="1300" kern="1200" dirty="0"/>
        </a:p>
      </dsp:txBody>
      <dsp:txXfrm>
        <a:off x="3273559" y="186468"/>
        <a:ext cx="2337474" cy="1402484"/>
      </dsp:txXfrm>
    </dsp:sp>
    <dsp:sp modelId="{DA0201F0-FDE5-43AB-AC97-5A4B9E561FC2}">
      <dsp:nvSpPr>
        <dsp:cNvPr id="0" name=""/>
        <dsp:cNvSpPr/>
      </dsp:nvSpPr>
      <dsp:spPr>
        <a:xfrm rot="5400000">
          <a:off x="4194524" y="1752575"/>
          <a:ext cx="495544" cy="579693"/>
        </a:xfrm>
        <a:prstGeom prst="rightArrow">
          <a:avLst>
            <a:gd name="adj1" fmla="val 60000"/>
            <a:gd name="adj2" fmla="val 5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MX" sz="1400" kern="1200"/>
        </a:p>
      </dsp:txBody>
      <dsp:txXfrm rot="5400000">
        <a:off x="4194524" y="1752575"/>
        <a:ext cx="495544" cy="579693"/>
      </dsp:txXfrm>
    </dsp:sp>
    <dsp:sp modelId="{854E4685-E7CD-4C3B-A556-0F86C525E810}">
      <dsp:nvSpPr>
        <dsp:cNvPr id="0" name=""/>
        <dsp:cNvSpPr/>
      </dsp:nvSpPr>
      <dsp:spPr>
        <a:xfrm>
          <a:off x="3273559" y="2523942"/>
          <a:ext cx="2337474" cy="1402484"/>
        </a:xfrm>
        <a:prstGeom prst="roundRect">
          <a:avLst>
            <a:gd name="adj" fmla="val 10000"/>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MX" sz="1700" kern="1200" dirty="0" smtClean="0"/>
            <a:t>3. Protección civil y Bomberos</a:t>
          </a:r>
          <a:endParaRPr lang="es-MX" sz="1700" kern="1200" dirty="0"/>
        </a:p>
        <a:p>
          <a:pPr marL="114300" lvl="1" indent="-114300" algn="l" defTabSz="577850">
            <a:lnSpc>
              <a:spcPct val="90000"/>
            </a:lnSpc>
            <a:spcBef>
              <a:spcPct val="0"/>
            </a:spcBef>
            <a:spcAft>
              <a:spcPct val="15000"/>
            </a:spcAft>
            <a:buChar char="••"/>
          </a:pPr>
          <a:r>
            <a:rPr lang="es-MX" sz="1300" kern="1200" dirty="0" smtClean="0"/>
            <a:t>Fortalecimiento de la cultura de protección civil y equipamiento.</a:t>
          </a:r>
          <a:endParaRPr lang="es-MX" sz="1300" kern="1200" dirty="0"/>
        </a:p>
      </dsp:txBody>
      <dsp:txXfrm>
        <a:off x="3273559" y="2523942"/>
        <a:ext cx="2337474" cy="1402484"/>
      </dsp:txXfrm>
    </dsp:sp>
    <dsp:sp modelId="{E766FD27-22A4-452D-80C2-E2DB158792DE}">
      <dsp:nvSpPr>
        <dsp:cNvPr id="0" name=""/>
        <dsp:cNvSpPr/>
      </dsp:nvSpPr>
      <dsp:spPr>
        <a:xfrm rot="10800000">
          <a:off x="2572317" y="2935337"/>
          <a:ext cx="495544" cy="579693"/>
        </a:xfrm>
        <a:prstGeom prst="rightArrow">
          <a:avLst>
            <a:gd name="adj1" fmla="val 60000"/>
            <a:gd name="adj2" fmla="val 50000"/>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MX" sz="1400" kern="1200"/>
        </a:p>
      </dsp:txBody>
      <dsp:txXfrm rot="10800000">
        <a:off x="2572317" y="2935337"/>
        <a:ext cx="495544" cy="579693"/>
      </dsp:txXfrm>
    </dsp:sp>
    <dsp:sp modelId="{46F89A08-EA9D-412C-8B3C-CDAEE1A36F92}">
      <dsp:nvSpPr>
        <dsp:cNvPr id="0" name=""/>
        <dsp:cNvSpPr/>
      </dsp:nvSpPr>
      <dsp:spPr>
        <a:xfrm>
          <a:off x="1096" y="2523942"/>
          <a:ext cx="2337474" cy="1402484"/>
        </a:xfrm>
        <a:prstGeom prst="roundRect">
          <a:avLst>
            <a:gd name="adj" fmla="val 10000"/>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es-MX" sz="1700" kern="1200" dirty="0" smtClean="0"/>
            <a:t>4. Servicios públicos municipales</a:t>
          </a:r>
          <a:endParaRPr lang="es-MX" sz="1700" kern="1200" dirty="0"/>
        </a:p>
        <a:p>
          <a:pPr marL="114300" lvl="1" indent="-114300" algn="l" defTabSz="577850">
            <a:lnSpc>
              <a:spcPct val="90000"/>
            </a:lnSpc>
            <a:spcBef>
              <a:spcPct val="0"/>
            </a:spcBef>
            <a:spcAft>
              <a:spcPct val="15000"/>
            </a:spcAft>
            <a:buChar char="••"/>
          </a:pPr>
          <a:r>
            <a:rPr lang="es-MX" sz="1300" kern="1200" dirty="0" smtClean="0"/>
            <a:t>Mejoramiento de los servicios </a:t>
          </a:r>
          <a:endParaRPr lang="es-MX" sz="1300" kern="1200" dirty="0"/>
        </a:p>
        <a:p>
          <a:pPr marL="114300" lvl="1" indent="-114300" algn="l" defTabSz="577850">
            <a:lnSpc>
              <a:spcPct val="90000"/>
            </a:lnSpc>
            <a:spcBef>
              <a:spcPct val="0"/>
            </a:spcBef>
            <a:spcAft>
              <a:spcPct val="15000"/>
            </a:spcAft>
            <a:buChar char="••"/>
          </a:pPr>
          <a:r>
            <a:rPr lang="es-MX" sz="1300" kern="1200" dirty="0" smtClean="0"/>
            <a:t>Ampliar la cobertura </a:t>
          </a:r>
          <a:endParaRPr lang="es-MX" sz="1300" kern="1200" dirty="0"/>
        </a:p>
      </dsp:txBody>
      <dsp:txXfrm>
        <a:off x="1096" y="2523942"/>
        <a:ext cx="2337474" cy="14024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7060-DDBC-4B65-BAE4-415D96C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2207</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Abrahameco</dc:creator>
  <cp:lastModifiedBy>ADIR</cp:lastModifiedBy>
  <cp:revision>8</cp:revision>
  <dcterms:created xsi:type="dcterms:W3CDTF">2015-12-01T16:30:00Z</dcterms:created>
  <dcterms:modified xsi:type="dcterms:W3CDTF">2015-12-12T01:21:00Z</dcterms:modified>
</cp:coreProperties>
</file>