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6BABC" w14:textId="77777777" w:rsidR="0001542A" w:rsidRPr="00731B5F" w:rsidRDefault="00467E35" w:rsidP="00467E35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XIV. DESCRIPCIÓN DE RIESGOS RELEVANTES PARA LAS FINANZAS PÚBLICAS</w:t>
      </w:r>
      <w:r w:rsidR="00CB5AA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MUNICIPALES Y ESTATUS DE LA DEUDA.</w:t>
      </w:r>
    </w:p>
    <w:p w14:paraId="3606BABD" w14:textId="039D27C0" w:rsidR="004E2C64" w:rsidRDefault="00CF3E36" w:rsidP="00487256">
      <w:pPr>
        <w:spacing w:after="225" w:line="36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31B5F">
        <w:rPr>
          <w:rFonts w:ascii="Arial" w:eastAsia="Times New Roman" w:hAnsi="Arial" w:cs="Arial"/>
          <w:sz w:val="24"/>
          <w:szCs w:val="24"/>
          <w:lang w:eastAsia="es-MX"/>
        </w:rPr>
        <w:t>En concordancia al Artíc</w:t>
      </w:r>
      <w:r w:rsidR="001A7366">
        <w:rPr>
          <w:rFonts w:ascii="Arial" w:eastAsia="Times New Roman" w:hAnsi="Arial" w:cs="Arial"/>
          <w:sz w:val="24"/>
          <w:szCs w:val="24"/>
          <w:lang w:eastAsia="es-MX"/>
        </w:rPr>
        <w:t>ulo 18 de la Ley de Disciplina F</w:t>
      </w:r>
      <w:r w:rsidRPr="00731B5F">
        <w:rPr>
          <w:rFonts w:ascii="Arial" w:eastAsia="Times New Roman" w:hAnsi="Arial" w:cs="Arial"/>
          <w:sz w:val="24"/>
          <w:szCs w:val="24"/>
          <w:lang w:eastAsia="es-MX"/>
        </w:rPr>
        <w:t>inanciera, se presenta un panorama de las finanzas públicas del municipio, así como el contexto de la economía mexicana y de su hacienda pública seg</w:t>
      </w:r>
      <w:r w:rsidR="00B73CE9"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ún los Criterios Generales de Política para </w:t>
      </w:r>
      <w:r w:rsidR="00EB0FD2">
        <w:rPr>
          <w:rFonts w:ascii="Arial" w:eastAsia="Times New Roman" w:hAnsi="Arial" w:cs="Arial"/>
          <w:sz w:val="24"/>
          <w:szCs w:val="24"/>
          <w:lang w:eastAsia="es-MX"/>
        </w:rPr>
        <w:t>20</w:t>
      </w:r>
      <w:r w:rsidR="00610FF7">
        <w:rPr>
          <w:rFonts w:ascii="Arial" w:eastAsia="Times New Roman" w:hAnsi="Arial" w:cs="Arial"/>
          <w:sz w:val="24"/>
          <w:szCs w:val="24"/>
          <w:lang w:eastAsia="es-MX"/>
        </w:rPr>
        <w:t>20</w:t>
      </w:r>
      <w:r w:rsidR="0001542A" w:rsidRPr="00731B5F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1"/>
      </w:r>
      <w:r w:rsidR="00B73CE9"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="00CB5AA2" w:rsidRPr="00731B5F">
        <w:rPr>
          <w:rFonts w:ascii="Arial" w:eastAsia="Times New Roman" w:hAnsi="Arial" w:cs="Arial"/>
          <w:sz w:val="24"/>
          <w:szCs w:val="24"/>
          <w:lang w:eastAsia="es-MX"/>
        </w:rPr>
        <w:t>En virtud de</w:t>
      </w:r>
      <w:r w:rsidR="0001542A" w:rsidRPr="00731B5F">
        <w:rPr>
          <w:rFonts w:ascii="Arial" w:eastAsia="Times New Roman" w:hAnsi="Arial" w:cs="Arial"/>
          <w:sz w:val="24"/>
          <w:szCs w:val="24"/>
          <w:lang w:eastAsia="es-MX"/>
        </w:rPr>
        <w:t xml:space="preserve"> lo anterior, </w:t>
      </w:r>
      <w:r w:rsidR="004E2C64" w:rsidRPr="00731B5F">
        <w:rPr>
          <w:rFonts w:ascii="Arial" w:eastAsia="Times New Roman" w:hAnsi="Arial" w:cs="Arial"/>
          <w:sz w:val="24"/>
          <w:szCs w:val="24"/>
          <w:lang w:eastAsia="es-MX"/>
        </w:rPr>
        <w:t>se d</w:t>
      </w:r>
      <w:r w:rsidR="00D01E40" w:rsidRPr="00731B5F">
        <w:rPr>
          <w:rFonts w:ascii="Arial" w:eastAsia="Times New Roman" w:hAnsi="Arial" w:cs="Arial"/>
          <w:sz w:val="24"/>
          <w:szCs w:val="24"/>
          <w:lang w:eastAsia="es-MX"/>
        </w:rPr>
        <w:t>estacan los siguientes aspectos:</w:t>
      </w:r>
    </w:p>
    <w:p w14:paraId="3606BABE" w14:textId="465B1A0F" w:rsidR="00467E35" w:rsidRDefault="00467E35" w:rsidP="00467E35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67E35">
        <w:rPr>
          <w:rFonts w:ascii="Arial" w:eastAsia="Times New Roman" w:hAnsi="Arial" w:cs="Arial"/>
          <w:b/>
          <w:sz w:val="24"/>
          <w:szCs w:val="24"/>
          <w:lang w:eastAsia="es-MX"/>
        </w:rPr>
        <w:t>CRITERIOS GENE</w:t>
      </w:r>
      <w:r w:rsidR="00EB0FD2">
        <w:rPr>
          <w:rFonts w:ascii="Arial" w:eastAsia="Times New Roman" w:hAnsi="Arial" w:cs="Arial"/>
          <w:b/>
          <w:sz w:val="24"/>
          <w:szCs w:val="24"/>
          <w:lang w:eastAsia="es-MX"/>
        </w:rPr>
        <w:t>RALES DE POLÍTICA ECONÓMICA 20</w:t>
      </w:r>
      <w:r w:rsidR="00A931EE">
        <w:rPr>
          <w:rFonts w:ascii="Arial" w:eastAsia="Times New Roman" w:hAnsi="Arial" w:cs="Arial"/>
          <w:b/>
          <w:sz w:val="24"/>
          <w:szCs w:val="24"/>
          <w:lang w:eastAsia="es-MX"/>
        </w:rPr>
        <w:t>20</w:t>
      </w:r>
      <w:r w:rsidRPr="00467E35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PARA LA PLANEACIÓN</w:t>
      </w:r>
      <w:r w:rsidR="00EB0FD2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DEL PRESUPUESTO DE ZAPOPAN</w:t>
      </w:r>
    </w:p>
    <w:p w14:paraId="6FB106DE" w14:textId="15E63680" w:rsidR="00E56C18" w:rsidRPr="003B12ED" w:rsidRDefault="00E56C18" w:rsidP="00E56C1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12ED">
        <w:rPr>
          <w:rFonts w:ascii="Arial" w:hAnsi="Arial" w:cs="Arial"/>
          <w:sz w:val="24"/>
          <w:szCs w:val="24"/>
        </w:rPr>
        <w:t>La e</w:t>
      </w:r>
      <w:r w:rsidR="00D01E40" w:rsidRPr="003B12ED">
        <w:rPr>
          <w:rFonts w:ascii="Arial" w:hAnsi="Arial" w:cs="Arial"/>
          <w:sz w:val="24"/>
          <w:szCs w:val="24"/>
        </w:rPr>
        <w:t>strategia Macroeconómica</w:t>
      </w:r>
      <w:r w:rsidRPr="003B12ED">
        <w:rPr>
          <w:rFonts w:ascii="Arial" w:hAnsi="Arial" w:cs="Arial"/>
          <w:sz w:val="24"/>
          <w:szCs w:val="24"/>
        </w:rPr>
        <w:t xml:space="preserve"> para 2020 tiene como finalidad mantener el equilibrio de las finanzas públicas ligado a disciplina fiscal y detonar el desarrollo ligado a la agenda de gobierno federal y sus prioridades. Las principales variables económicas de referencia son: </w:t>
      </w:r>
    </w:p>
    <w:p w14:paraId="623425B9" w14:textId="77777777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Crecimiento del PIB, entre 0.6 y 1.2%. </w:t>
      </w:r>
    </w:p>
    <w:p w14:paraId="386F1D87" w14:textId="35C90084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>Precio promedio de la mezcla mexicana de petróleo: 55 dólares por barril</w:t>
      </w:r>
      <w:r w:rsidRPr="00E56C18">
        <w:rPr>
          <w:rFonts w:ascii="Arial" w:hAnsi="Arial" w:cs="Arial"/>
          <w:b/>
          <w:sz w:val="24"/>
          <w:szCs w:val="24"/>
        </w:rPr>
        <w:t xml:space="preserve"> (dpb)</w:t>
      </w:r>
      <w:r w:rsidR="003B12ED">
        <w:rPr>
          <w:rFonts w:ascii="Arial" w:hAnsi="Arial" w:cs="Arial"/>
          <w:b/>
          <w:sz w:val="24"/>
          <w:szCs w:val="24"/>
        </w:rPr>
        <w:t>.</w:t>
      </w:r>
    </w:p>
    <w:p w14:paraId="19CC85E8" w14:textId="77777777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Tipo de cambio </w:t>
      </w:r>
      <w:r w:rsidRPr="00E56C18">
        <w:rPr>
          <w:rFonts w:ascii="Arial" w:hAnsi="Arial" w:cs="Arial"/>
          <w:b/>
          <w:sz w:val="24"/>
          <w:szCs w:val="24"/>
        </w:rPr>
        <w:t xml:space="preserve">promedio de </w:t>
      </w:r>
      <w:r w:rsidRPr="00E56C18">
        <w:rPr>
          <w:rFonts w:ascii="Arial" w:hAnsi="Arial" w:cs="Arial"/>
          <w:b/>
          <w:bCs/>
          <w:sz w:val="24"/>
          <w:szCs w:val="24"/>
        </w:rPr>
        <w:t>19.4 pesos por dólar</w:t>
      </w:r>
    </w:p>
    <w:p w14:paraId="5639E228" w14:textId="77777777" w:rsidR="00E56C18" w:rsidRPr="00E56C18" w:rsidRDefault="00E56C18" w:rsidP="00E56C1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Inflación anual de 3.2%, </w:t>
      </w:r>
      <w:r w:rsidRPr="00E56C18">
        <w:rPr>
          <w:rFonts w:ascii="Arial" w:hAnsi="Arial" w:cs="Arial"/>
          <w:b/>
          <w:sz w:val="24"/>
          <w:szCs w:val="24"/>
        </w:rPr>
        <w:t xml:space="preserve">pronóstico del Banco de México </w:t>
      </w:r>
    </w:p>
    <w:p w14:paraId="67036CBF" w14:textId="77777777" w:rsidR="002E6C41" w:rsidRDefault="00E56C18" w:rsidP="002E6C4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C18">
        <w:rPr>
          <w:rFonts w:ascii="Arial" w:hAnsi="Arial" w:cs="Arial"/>
          <w:b/>
          <w:bCs/>
          <w:sz w:val="24"/>
          <w:szCs w:val="24"/>
        </w:rPr>
        <w:t xml:space="preserve">Tasa de interés nominal promedio, 8% </w:t>
      </w:r>
      <w:r w:rsidRPr="00E56C18">
        <w:rPr>
          <w:rFonts w:ascii="Arial" w:hAnsi="Arial" w:cs="Arial"/>
          <w:b/>
          <w:sz w:val="24"/>
          <w:szCs w:val="24"/>
        </w:rPr>
        <w:t>(cetes 28 días)</w:t>
      </w:r>
    </w:p>
    <w:p w14:paraId="31071CD0" w14:textId="069DCFA2" w:rsidR="002E6C41" w:rsidRDefault="002E6C41" w:rsidP="002E6C4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Efectividad de la política fiscal: s</w:t>
      </w:r>
      <w:r w:rsidRPr="002E6C41">
        <w:rPr>
          <w:rFonts w:ascii="Arial" w:hAnsi="Arial" w:cs="Arial"/>
          <w:b/>
          <w:sz w:val="24"/>
          <w:szCs w:val="24"/>
        </w:rPr>
        <w:t>e estima un 2% adicional en los ingresos tributarios por combate al fraude, evasión y elusión fiscal.</w:t>
      </w:r>
    </w:p>
    <w:p w14:paraId="3803D8B8" w14:textId="215243C1" w:rsidR="002E6C41" w:rsidRDefault="002E6C41" w:rsidP="002E6C41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Control de la deuda pública </w:t>
      </w:r>
    </w:p>
    <w:p w14:paraId="6BFDFDB4" w14:textId="7549A25C" w:rsidR="002E6C41" w:rsidRDefault="002E6C41" w:rsidP="002E6C41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09D90B" w14:textId="6B4BF7DD" w:rsidR="002E6C41" w:rsidRDefault="002E6C41" w:rsidP="002E6C4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E6C41">
        <w:rPr>
          <w:rFonts w:ascii="Arial" w:hAnsi="Arial" w:cs="Arial"/>
          <w:sz w:val="24"/>
          <w:szCs w:val="24"/>
        </w:rPr>
        <w:t>Para 2020 se estima que también mejoren las perspectivas económicas y se acelere el gasto público en proyectos de inversión y programas, así como el f</w:t>
      </w:r>
      <w:r w:rsidRPr="002E6C41">
        <w:rPr>
          <w:rFonts w:ascii="Arial" w:hAnsi="Arial" w:cs="Arial"/>
          <w:bCs/>
          <w:sz w:val="24"/>
          <w:szCs w:val="24"/>
        </w:rPr>
        <w:t xml:space="preserve">ortalecimiento del mercado interno, creación de empleos, repunte del crédito y la inversión en infraestructura y </w:t>
      </w:r>
      <w:r>
        <w:rPr>
          <w:rFonts w:ascii="Arial" w:hAnsi="Arial" w:cs="Arial"/>
          <w:bCs/>
          <w:sz w:val="24"/>
          <w:szCs w:val="24"/>
        </w:rPr>
        <w:t>el relanzamiento del tratado de libre comercio con América del Norte (</w:t>
      </w:r>
      <w:r w:rsidRPr="002E6C41">
        <w:rPr>
          <w:rFonts w:ascii="Arial" w:hAnsi="Arial" w:cs="Arial"/>
          <w:bCs/>
          <w:sz w:val="24"/>
          <w:szCs w:val="24"/>
        </w:rPr>
        <w:t>T-MEC</w:t>
      </w:r>
      <w:r>
        <w:rPr>
          <w:rFonts w:ascii="Arial" w:hAnsi="Arial" w:cs="Arial"/>
          <w:bCs/>
          <w:sz w:val="24"/>
          <w:szCs w:val="24"/>
        </w:rPr>
        <w:t>)</w:t>
      </w:r>
      <w:r w:rsidRPr="002E6C41">
        <w:rPr>
          <w:rFonts w:ascii="Arial" w:hAnsi="Arial" w:cs="Arial"/>
          <w:bCs/>
          <w:sz w:val="24"/>
          <w:szCs w:val="24"/>
        </w:rPr>
        <w:t>.</w:t>
      </w:r>
    </w:p>
    <w:p w14:paraId="10410C05" w14:textId="4F53F22E" w:rsidR="005E798A" w:rsidRDefault="005E798A" w:rsidP="005E798A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Por su parte el gobierno federal para el 2020 ha establecido algunas</w:t>
      </w:r>
      <w:r w:rsidR="00B150D7">
        <w:rPr>
          <w:rFonts w:ascii="Arial" w:hAnsi="Arial" w:cs="Arial"/>
          <w:bCs/>
          <w:sz w:val="24"/>
          <w:szCs w:val="24"/>
        </w:rPr>
        <w:t xml:space="preserve"> acciones</w:t>
      </w:r>
      <w:r w:rsidRPr="005E798A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798A">
        <w:rPr>
          <w:rFonts w:ascii="Arial" w:hAnsi="Arial" w:cs="Arial"/>
          <w:bCs/>
          <w:sz w:val="24"/>
          <w:szCs w:val="24"/>
        </w:rPr>
        <w:t xml:space="preserve">para mantener la </w:t>
      </w:r>
      <w:r w:rsidRPr="00B150D7">
        <w:rPr>
          <w:rFonts w:ascii="Arial" w:hAnsi="Arial" w:cs="Arial"/>
          <w:bCs/>
          <w:sz w:val="24"/>
          <w:szCs w:val="24"/>
        </w:rPr>
        <w:t xml:space="preserve">estabilidad en </w:t>
      </w:r>
      <w:r w:rsidRPr="005E798A">
        <w:rPr>
          <w:rFonts w:ascii="Arial" w:hAnsi="Arial" w:cs="Arial"/>
          <w:bCs/>
          <w:sz w:val="24"/>
          <w:szCs w:val="24"/>
        </w:rPr>
        <w:t>las finanzas públicas</w:t>
      </w:r>
      <w:r w:rsidRPr="00B150D7">
        <w:rPr>
          <w:rFonts w:ascii="Arial" w:hAnsi="Arial" w:cs="Arial"/>
          <w:bCs/>
          <w:sz w:val="24"/>
          <w:szCs w:val="24"/>
        </w:rPr>
        <w:t xml:space="preserve"> con las siguientes </w:t>
      </w:r>
      <w:r w:rsidR="00B150D7" w:rsidRPr="00B150D7">
        <w:rPr>
          <w:rFonts w:ascii="Arial" w:hAnsi="Arial" w:cs="Arial"/>
          <w:bCs/>
          <w:sz w:val="24"/>
          <w:szCs w:val="24"/>
        </w:rPr>
        <w:t xml:space="preserve">medidas: </w:t>
      </w:r>
    </w:p>
    <w:p w14:paraId="626BD26E" w14:textId="2B7A03BF" w:rsidR="005E798A" w:rsidRDefault="00044895" w:rsidP="002E6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4895">
        <w:rPr>
          <w:rFonts w:ascii="Arial" w:hAnsi="Arial" w:cs="Arial"/>
          <w:bCs/>
          <w:noProof/>
          <w:sz w:val="24"/>
          <w:szCs w:val="24"/>
          <w:lang w:eastAsia="es-MX"/>
        </w:rPr>
        <w:drawing>
          <wp:inline distT="0" distB="0" distL="0" distR="0" wp14:anchorId="4D70C9A6" wp14:editId="1AAF5989">
            <wp:extent cx="5519420" cy="1315687"/>
            <wp:effectExtent l="38100" t="38100" r="24130" b="0"/>
            <wp:docPr id="3" name="Diagrama 3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61DEB0F-5805-4E74-BCE8-2EA11456CA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6BD7C75" w14:textId="6E9747D3" w:rsidR="00C904B2" w:rsidRDefault="00C9016A" w:rsidP="002E6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igual manera se identifica en el proyecto </w:t>
      </w:r>
      <w:r w:rsidR="00C904B2">
        <w:rPr>
          <w:rFonts w:ascii="Arial" w:hAnsi="Arial" w:cs="Arial"/>
          <w:sz w:val="24"/>
          <w:szCs w:val="24"/>
        </w:rPr>
        <w:t xml:space="preserve">económico </w:t>
      </w:r>
      <w:r>
        <w:rPr>
          <w:rFonts w:ascii="Arial" w:hAnsi="Arial" w:cs="Arial"/>
          <w:sz w:val="24"/>
          <w:szCs w:val="24"/>
        </w:rPr>
        <w:t>para</w:t>
      </w:r>
      <w:r w:rsidR="00C904B2">
        <w:rPr>
          <w:rFonts w:ascii="Arial" w:hAnsi="Arial" w:cs="Arial"/>
          <w:sz w:val="24"/>
          <w:szCs w:val="24"/>
        </w:rPr>
        <w:t xml:space="preserve"> el </w:t>
      </w:r>
      <w:r>
        <w:rPr>
          <w:rFonts w:ascii="Arial" w:hAnsi="Arial" w:cs="Arial"/>
          <w:sz w:val="24"/>
          <w:szCs w:val="24"/>
        </w:rPr>
        <w:t>2020 del gobierno federal</w:t>
      </w:r>
      <w:r w:rsidR="00C904B2">
        <w:rPr>
          <w:rFonts w:ascii="Arial" w:hAnsi="Arial" w:cs="Arial"/>
          <w:sz w:val="24"/>
          <w:szCs w:val="24"/>
        </w:rPr>
        <w:t xml:space="preserve">, una serie de </w:t>
      </w:r>
      <w:r w:rsidR="00C904B2" w:rsidRPr="00BF0ACA">
        <w:rPr>
          <w:rFonts w:ascii="Arial" w:hAnsi="Arial" w:cs="Arial"/>
          <w:sz w:val="24"/>
          <w:szCs w:val="24"/>
        </w:rPr>
        <w:t>e</w:t>
      </w:r>
      <w:r w:rsidR="00C904B2" w:rsidRPr="00BF0ACA">
        <w:rPr>
          <w:rFonts w:ascii="Arial" w:hAnsi="Arial" w:cs="Arial"/>
          <w:bCs/>
          <w:sz w:val="24"/>
          <w:szCs w:val="24"/>
        </w:rPr>
        <w:t>strategias de crecimiento económico para el sexenio con los siguientes programas:</w:t>
      </w:r>
      <w:r w:rsidR="00C904B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32B4AAA" w14:textId="77777777" w:rsidR="00C904B2" w:rsidRPr="00C904B2" w:rsidRDefault="00C904B2" w:rsidP="00C904B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04B2">
        <w:rPr>
          <w:rFonts w:ascii="Arial" w:hAnsi="Arial" w:cs="Arial"/>
          <w:b/>
          <w:bCs/>
          <w:i/>
          <w:iCs/>
          <w:sz w:val="24"/>
          <w:szCs w:val="24"/>
        </w:rPr>
        <w:t xml:space="preserve">Programa Especial para la Productividad y la Competitividad </w:t>
      </w:r>
      <w:r w:rsidRPr="00C904B2">
        <w:rPr>
          <w:rFonts w:ascii="Arial" w:hAnsi="Arial" w:cs="Arial"/>
          <w:i/>
          <w:iCs/>
          <w:sz w:val="24"/>
          <w:szCs w:val="24"/>
        </w:rPr>
        <w:t>2019-2024 establecerá la estrategia de crecimiento económico.</w:t>
      </w:r>
    </w:p>
    <w:p w14:paraId="0EDC55AB" w14:textId="77777777" w:rsidR="00C904B2" w:rsidRPr="00C904B2" w:rsidRDefault="00C904B2" w:rsidP="00C904B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04B2">
        <w:rPr>
          <w:rFonts w:ascii="Arial" w:hAnsi="Arial" w:cs="Arial"/>
          <w:i/>
          <w:iCs/>
          <w:sz w:val="24"/>
          <w:szCs w:val="24"/>
        </w:rPr>
        <w:t xml:space="preserve"> </w:t>
      </w:r>
      <w:r w:rsidRPr="00C904B2">
        <w:rPr>
          <w:rFonts w:ascii="Arial" w:hAnsi="Arial" w:cs="Arial"/>
          <w:b/>
          <w:bCs/>
          <w:i/>
          <w:iCs/>
          <w:sz w:val="24"/>
          <w:szCs w:val="24"/>
        </w:rPr>
        <w:t xml:space="preserve">Programa Nacional de Financiamiento del Desarrollo </w:t>
      </w:r>
      <w:r w:rsidRPr="00C904B2">
        <w:rPr>
          <w:rFonts w:ascii="Arial" w:hAnsi="Arial" w:cs="Arial"/>
          <w:i/>
          <w:iCs/>
          <w:sz w:val="24"/>
          <w:szCs w:val="24"/>
        </w:rPr>
        <w:t>2019-2024 delineará los mecanismos para el financiamiento de esta estrategia.</w:t>
      </w:r>
    </w:p>
    <w:p w14:paraId="35CF48E7" w14:textId="77777777" w:rsidR="00C904B2" w:rsidRPr="00C904B2" w:rsidRDefault="00C904B2" w:rsidP="00C904B2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04B2">
        <w:rPr>
          <w:rFonts w:ascii="Arial" w:hAnsi="Arial" w:cs="Arial"/>
          <w:b/>
          <w:bCs/>
          <w:i/>
          <w:iCs/>
          <w:sz w:val="24"/>
          <w:szCs w:val="24"/>
        </w:rPr>
        <w:t xml:space="preserve">Programa Nacional de Infraestructura para el Bienestar </w:t>
      </w:r>
      <w:r w:rsidRPr="00C904B2">
        <w:rPr>
          <w:rFonts w:ascii="Arial" w:hAnsi="Arial" w:cs="Arial"/>
          <w:i/>
          <w:iCs/>
          <w:sz w:val="24"/>
          <w:szCs w:val="24"/>
        </w:rPr>
        <w:t>2019-2024 establecerá las estrategias de inversión en infraestructura en los sectores prioritarios y estratégicos.</w:t>
      </w:r>
    </w:p>
    <w:p w14:paraId="0F2DC1B9" w14:textId="6BBC8D69" w:rsidR="00FA5AB2" w:rsidRDefault="00C904B2" w:rsidP="002E6C4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 esto tiene como finalidad soportar la ley de ingresos </w:t>
      </w:r>
      <w:r w:rsidR="004F423F">
        <w:rPr>
          <w:rFonts w:ascii="Arial" w:hAnsi="Arial" w:cs="Arial"/>
          <w:sz w:val="24"/>
          <w:szCs w:val="24"/>
        </w:rPr>
        <w:t xml:space="preserve">de la federación y el presupuesto de egresos 2020 que permita financiar las políticas públicas de la agenda de gobierno, así como las transferencias </w:t>
      </w:r>
      <w:r w:rsidR="00432ECA">
        <w:rPr>
          <w:rFonts w:ascii="Arial" w:hAnsi="Arial" w:cs="Arial"/>
          <w:sz w:val="24"/>
          <w:szCs w:val="24"/>
        </w:rPr>
        <w:t xml:space="preserve">para estados y municipios relacionadas con participaciones y fondo de aportaciones. </w:t>
      </w:r>
    </w:p>
    <w:p w14:paraId="3B89D38E" w14:textId="325F2901" w:rsidR="000F6957" w:rsidRDefault="000F6957" w:rsidP="003A38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Sin </w:t>
      </w:r>
      <w:r w:rsidR="003A3815">
        <w:rPr>
          <w:rFonts w:ascii="Arial" w:hAnsi="Arial" w:cs="Arial"/>
          <w:sz w:val="24"/>
          <w:szCs w:val="24"/>
        </w:rPr>
        <w:t>embargo,</w:t>
      </w:r>
      <w:r>
        <w:rPr>
          <w:rFonts w:ascii="Arial" w:hAnsi="Arial" w:cs="Arial"/>
          <w:sz w:val="24"/>
          <w:szCs w:val="24"/>
        </w:rPr>
        <w:t xml:space="preserve"> para la administración municipal de Zapopan </w:t>
      </w:r>
      <w:r w:rsidR="00165D1C">
        <w:rPr>
          <w:rFonts w:ascii="Arial" w:hAnsi="Arial" w:cs="Arial"/>
          <w:sz w:val="24"/>
          <w:szCs w:val="24"/>
        </w:rPr>
        <w:t xml:space="preserve">prevé algunas señales de cautela para el ejercicio fiscal 2020 que pueden aminorar riesgos posibles </w:t>
      </w:r>
      <w:r w:rsidR="00896C2E">
        <w:rPr>
          <w:rFonts w:ascii="Arial" w:hAnsi="Arial" w:cs="Arial"/>
          <w:sz w:val="24"/>
          <w:szCs w:val="24"/>
        </w:rPr>
        <w:t>en la hacienda pública, que a continuación se describen:</w:t>
      </w:r>
    </w:p>
    <w:p w14:paraId="3606BAD3" w14:textId="2F3DBEFC" w:rsidR="00467E35" w:rsidRDefault="00467E35" w:rsidP="00467E35">
      <w:pPr>
        <w:pStyle w:val="Prrafodelista"/>
        <w:numPr>
          <w:ilvl w:val="0"/>
          <w:numId w:val="11"/>
        </w:numPr>
        <w:spacing w:after="225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467E35">
        <w:rPr>
          <w:rFonts w:ascii="Arial" w:eastAsia="Times New Roman" w:hAnsi="Arial" w:cs="Arial"/>
          <w:b/>
          <w:sz w:val="24"/>
          <w:szCs w:val="24"/>
          <w:lang w:eastAsia="es-MX"/>
        </w:rPr>
        <w:t>RIESGO DE LAS FINANZAS PÚBLICAS</w:t>
      </w:r>
      <w:r w:rsidR="00426A7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NACIONAL Y LOCAL</w:t>
      </w:r>
      <w:bookmarkStart w:id="0" w:name="_GoBack"/>
      <w:bookmarkEnd w:id="0"/>
    </w:p>
    <w:p w14:paraId="7AE20BF8" w14:textId="6AD93A2E" w:rsidR="004744E7" w:rsidRDefault="00467E35" w:rsidP="003A38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7E35">
        <w:rPr>
          <w:rFonts w:ascii="Arial" w:hAnsi="Arial" w:cs="Arial"/>
          <w:b/>
          <w:sz w:val="24"/>
          <w:szCs w:val="24"/>
        </w:rPr>
        <w:t>FACTORES EXTERNOS</w:t>
      </w:r>
    </w:p>
    <w:p w14:paraId="04E60F7E" w14:textId="5E1ABCDF" w:rsidR="00426A7F" w:rsidRPr="00426A7F" w:rsidRDefault="00426A7F" w:rsidP="00426A7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A7F">
        <w:rPr>
          <w:rFonts w:ascii="Arial" w:hAnsi="Arial" w:cs="Arial"/>
          <w:bCs/>
          <w:sz w:val="24"/>
          <w:szCs w:val="24"/>
        </w:rPr>
        <w:t>Mayor retraso en aprobación del T-MEC</w:t>
      </w:r>
    </w:p>
    <w:p w14:paraId="05BB5B59" w14:textId="77777777" w:rsidR="00426A7F" w:rsidRPr="00426A7F" w:rsidRDefault="00426A7F" w:rsidP="00426A7F">
      <w:pPr>
        <w:pStyle w:val="Prrafodelista"/>
        <w:spacing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14:paraId="729C94D4" w14:textId="74D0B4F7" w:rsidR="00426A7F" w:rsidRPr="00426A7F" w:rsidRDefault="00426A7F" w:rsidP="00426A7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6A7F">
        <w:rPr>
          <w:rFonts w:ascii="Arial" w:hAnsi="Arial" w:cs="Arial"/>
          <w:bCs/>
          <w:sz w:val="24"/>
          <w:szCs w:val="24"/>
        </w:rPr>
        <w:t>Guerra comercial y económica global</w:t>
      </w:r>
    </w:p>
    <w:p w14:paraId="63C1FB82" w14:textId="77777777" w:rsidR="00426A7F" w:rsidRPr="00426A7F" w:rsidRDefault="00426A7F" w:rsidP="00426A7F">
      <w:pPr>
        <w:pStyle w:val="Prrafodelista"/>
        <w:rPr>
          <w:rFonts w:ascii="Arial" w:hAnsi="Arial" w:cs="Arial"/>
          <w:sz w:val="24"/>
          <w:szCs w:val="24"/>
        </w:rPr>
      </w:pPr>
    </w:p>
    <w:p w14:paraId="44BD2672" w14:textId="7FAC234B" w:rsidR="00426A7F" w:rsidRPr="00426A7F" w:rsidRDefault="00426A7F" w:rsidP="00426A7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26A7F">
        <w:rPr>
          <w:rFonts w:ascii="Arial" w:hAnsi="Arial" w:cs="Arial"/>
          <w:bCs/>
          <w:sz w:val="24"/>
          <w:szCs w:val="24"/>
        </w:rPr>
        <w:t>Mayor desaceleración mundial (producción industrial EU)</w:t>
      </w:r>
    </w:p>
    <w:p w14:paraId="71F565B3" w14:textId="77777777" w:rsidR="00426A7F" w:rsidRPr="00426A7F" w:rsidRDefault="00426A7F" w:rsidP="00426A7F">
      <w:pPr>
        <w:pStyle w:val="Prrafodelista"/>
        <w:spacing w:line="360" w:lineRule="auto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45BA6308" w14:textId="3D325E3F" w:rsidR="00426A7F" w:rsidRDefault="00426A7F" w:rsidP="00426A7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26A7F">
        <w:rPr>
          <w:rFonts w:ascii="Arial" w:hAnsi="Arial" w:cs="Arial"/>
          <w:bCs/>
          <w:sz w:val="24"/>
          <w:szCs w:val="24"/>
        </w:rPr>
        <w:t>Deterioro de calificación crediticia de PEMEX que impacte en la deuda soberana y debilite inversión privada</w:t>
      </w:r>
    </w:p>
    <w:p w14:paraId="1F859D5D" w14:textId="77777777" w:rsidR="004A31AE" w:rsidRPr="004A31AE" w:rsidRDefault="004A31AE" w:rsidP="004A31AE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505672F9" w14:textId="4B5DF4DF" w:rsidR="004A31AE" w:rsidRDefault="004A31AE" w:rsidP="00426A7F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Cautela de los inversionistas ante el panorama de incertidumbre en algunos sectores productivos y/o en la toma de de</w:t>
      </w:r>
      <w:r w:rsidR="00F67C9D">
        <w:rPr>
          <w:rFonts w:ascii="Arial" w:hAnsi="Arial" w:cs="Arial"/>
          <w:bCs/>
          <w:sz w:val="24"/>
          <w:szCs w:val="24"/>
        </w:rPr>
        <w:t>cisiones</w:t>
      </w:r>
    </w:p>
    <w:p w14:paraId="6CFFFBC1" w14:textId="77777777" w:rsidR="00F67C9D" w:rsidRPr="00F67C9D" w:rsidRDefault="00F67C9D" w:rsidP="00F67C9D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20BE90F5" w14:textId="53715770" w:rsidR="004A31AE" w:rsidRPr="003F1762" w:rsidRDefault="00F67C9D" w:rsidP="00C51478">
      <w:pPr>
        <w:pStyle w:val="Prrafodelista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F1762">
        <w:rPr>
          <w:rFonts w:ascii="Arial" w:hAnsi="Arial" w:cs="Arial"/>
          <w:bCs/>
          <w:sz w:val="24"/>
          <w:szCs w:val="24"/>
        </w:rPr>
        <w:t xml:space="preserve">Menores recursos para el Estado de Jalisco lo que puede </w:t>
      </w:r>
      <w:r w:rsidR="001001F6" w:rsidRPr="003F1762">
        <w:rPr>
          <w:rFonts w:ascii="Arial" w:hAnsi="Arial" w:cs="Arial"/>
          <w:bCs/>
          <w:sz w:val="24"/>
          <w:szCs w:val="24"/>
        </w:rPr>
        <w:t xml:space="preserve">repercutir en el gasto público estatal </w:t>
      </w:r>
      <w:r w:rsidR="003F1762" w:rsidRPr="003F1762">
        <w:rPr>
          <w:rFonts w:ascii="Arial" w:hAnsi="Arial" w:cs="Arial"/>
          <w:bCs/>
          <w:sz w:val="24"/>
          <w:szCs w:val="24"/>
        </w:rPr>
        <w:t>en menor dinamismo de los proyectos metropolitanos.</w:t>
      </w:r>
    </w:p>
    <w:p w14:paraId="4F2AB50A" w14:textId="77777777" w:rsidR="002F0A4D" w:rsidRDefault="002F0A4D" w:rsidP="002F0A4D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606BADA" w14:textId="1CE64A81" w:rsidR="00467E35" w:rsidRPr="00467E35" w:rsidRDefault="001A7366" w:rsidP="003A3815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FACTORES</w:t>
      </w:r>
      <w:r w:rsidR="00467E35" w:rsidRPr="00467E35">
        <w:rPr>
          <w:rFonts w:ascii="Arial" w:hAnsi="Arial" w:cs="Arial"/>
          <w:b/>
          <w:sz w:val="24"/>
          <w:szCs w:val="24"/>
        </w:rPr>
        <w:t xml:space="preserve"> INTERNOS</w:t>
      </w:r>
    </w:p>
    <w:p w14:paraId="79002153" w14:textId="77777777" w:rsidR="00DF008D" w:rsidRDefault="00DF008D" w:rsidP="00DF008D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Caída en los ingresos por fondos federales y estatales para proyectos estratégicos y programas sociales con impacto para Zapopan </w:t>
      </w:r>
    </w:p>
    <w:p w14:paraId="3606BADC" w14:textId="77777777" w:rsidR="00EC288F" w:rsidRDefault="00EC288F" w:rsidP="00EC288F">
      <w:pPr>
        <w:pStyle w:val="Prrafodelista"/>
        <w:spacing w:line="360" w:lineRule="auto"/>
        <w:ind w:left="1428"/>
        <w:jc w:val="both"/>
        <w:rPr>
          <w:rFonts w:ascii="Arial" w:hAnsi="Arial" w:cs="Arial"/>
          <w:sz w:val="24"/>
          <w:szCs w:val="24"/>
        </w:rPr>
      </w:pPr>
    </w:p>
    <w:p w14:paraId="3606BADD" w14:textId="1AA42BD5" w:rsidR="00EC288F" w:rsidRDefault="00EC288F" w:rsidP="00467E35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Disminución de la recaudación en caso de menores ingresos de la población que dificulte el cumplimiento tributario. </w:t>
      </w:r>
    </w:p>
    <w:p w14:paraId="4CF1D270" w14:textId="77777777" w:rsidR="00102C94" w:rsidRPr="00102C94" w:rsidRDefault="00102C94" w:rsidP="00102C94">
      <w:pPr>
        <w:pStyle w:val="Prrafodelista"/>
        <w:rPr>
          <w:rFonts w:ascii="Arial" w:hAnsi="Arial" w:cs="Arial"/>
          <w:sz w:val="24"/>
          <w:szCs w:val="24"/>
        </w:rPr>
      </w:pPr>
    </w:p>
    <w:p w14:paraId="44CE07F4" w14:textId="1BAFC605" w:rsidR="00DF008D" w:rsidRPr="00A77291" w:rsidRDefault="00DF008D" w:rsidP="00A77291">
      <w:pPr>
        <w:pStyle w:val="Prrafode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Incremento en la demanda de servicios pú</w:t>
      </w:r>
      <w:r w:rsidR="00A77291">
        <w:rPr>
          <w:rFonts w:ascii="Arial" w:hAnsi="Arial" w:cs="Arial"/>
          <w:sz w:val="24"/>
          <w:szCs w:val="24"/>
        </w:rPr>
        <w:t xml:space="preserve">blicos municipales por parte de los </w:t>
      </w:r>
      <w:proofErr w:type="spellStart"/>
      <w:r w:rsidR="00A77291">
        <w:rPr>
          <w:rFonts w:ascii="Arial" w:hAnsi="Arial" w:cs="Arial"/>
          <w:sz w:val="24"/>
          <w:szCs w:val="24"/>
        </w:rPr>
        <w:t>zapopanos</w:t>
      </w:r>
      <w:proofErr w:type="spellEnd"/>
      <w:r w:rsidR="00A77291">
        <w:rPr>
          <w:rFonts w:ascii="Arial" w:hAnsi="Arial" w:cs="Arial"/>
          <w:sz w:val="24"/>
          <w:szCs w:val="24"/>
        </w:rPr>
        <w:t xml:space="preserve"> </w:t>
      </w:r>
      <w:r w:rsidRPr="00A77291">
        <w:rPr>
          <w:rFonts w:ascii="Arial" w:hAnsi="Arial" w:cs="Arial"/>
          <w:sz w:val="24"/>
          <w:szCs w:val="24"/>
        </w:rPr>
        <w:t>lo que requiere desti</w:t>
      </w:r>
      <w:r w:rsidR="00B361B5">
        <w:rPr>
          <w:rFonts w:ascii="Arial" w:hAnsi="Arial" w:cs="Arial"/>
          <w:sz w:val="24"/>
          <w:szCs w:val="24"/>
        </w:rPr>
        <w:t xml:space="preserve">nar más </w:t>
      </w:r>
      <w:r w:rsidR="00D96C5A">
        <w:rPr>
          <w:rFonts w:ascii="Arial" w:hAnsi="Arial" w:cs="Arial"/>
          <w:sz w:val="24"/>
          <w:szCs w:val="24"/>
        </w:rPr>
        <w:t>recursos</w:t>
      </w:r>
      <w:r w:rsidR="00B361B5">
        <w:rPr>
          <w:rFonts w:ascii="Arial" w:hAnsi="Arial" w:cs="Arial"/>
          <w:sz w:val="24"/>
          <w:szCs w:val="24"/>
        </w:rPr>
        <w:t xml:space="preserve"> púbicos </w:t>
      </w:r>
      <w:r w:rsidR="00D96C5A">
        <w:rPr>
          <w:rFonts w:ascii="Arial" w:hAnsi="Arial" w:cs="Arial"/>
          <w:sz w:val="24"/>
          <w:szCs w:val="24"/>
        </w:rPr>
        <w:t>a dichas necesidades</w:t>
      </w:r>
      <w:r w:rsidR="00603398">
        <w:rPr>
          <w:rFonts w:ascii="Arial" w:hAnsi="Arial" w:cs="Arial"/>
          <w:sz w:val="24"/>
          <w:szCs w:val="24"/>
        </w:rPr>
        <w:t xml:space="preserve"> con una presión en el gasto público.</w:t>
      </w:r>
    </w:p>
    <w:p w14:paraId="2A0BEF9F" w14:textId="42DE1CC9" w:rsidR="006F2807" w:rsidRDefault="00081786" w:rsidP="006F2807">
      <w:pPr>
        <w:pStyle w:val="Prrafodelista"/>
        <w:numPr>
          <w:ilvl w:val="0"/>
          <w:numId w:val="11"/>
        </w:numPr>
        <w:tabs>
          <w:tab w:val="center" w:pos="6502"/>
        </w:tabs>
        <w:jc w:val="both"/>
        <w:rPr>
          <w:rFonts w:ascii="Arial" w:hAnsi="Arial" w:cs="Arial"/>
          <w:b/>
          <w:sz w:val="24"/>
        </w:rPr>
      </w:pPr>
      <w:r w:rsidRPr="006F2807">
        <w:rPr>
          <w:rFonts w:ascii="Arial" w:hAnsi="Arial" w:cs="Arial"/>
          <w:b/>
          <w:sz w:val="24"/>
        </w:rPr>
        <w:lastRenderedPageBreak/>
        <w:t xml:space="preserve">INFORME </w:t>
      </w:r>
      <w:r w:rsidR="003A3815" w:rsidRPr="006F2807">
        <w:rPr>
          <w:rFonts w:ascii="Arial" w:hAnsi="Arial" w:cs="Arial"/>
          <w:b/>
          <w:sz w:val="24"/>
        </w:rPr>
        <w:t>Y ESTA</w:t>
      </w:r>
      <w:r w:rsidR="006F2807" w:rsidRPr="006F2807">
        <w:rPr>
          <w:rFonts w:ascii="Arial" w:hAnsi="Arial" w:cs="Arial"/>
          <w:b/>
          <w:sz w:val="24"/>
        </w:rPr>
        <w:t>T</w:t>
      </w:r>
      <w:r w:rsidR="003A3815" w:rsidRPr="006F2807">
        <w:rPr>
          <w:rFonts w:ascii="Arial" w:hAnsi="Arial" w:cs="Arial"/>
          <w:b/>
          <w:sz w:val="24"/>
        </w:rPr>
        <w:t xml:space="preserve">US </w:t>
      </w:r>
      <w:r w:rsidRPr="006F2807">
        <w:rPr>
          <w:rFonts w:ascii="Arial" w:hAnsi="Arial" w:cs="Arial"/>
          <w:b/>
          <w:sz w:val="24"/>
        </w:rPr>
        <w:t>DE LA DEUDA PÚBLICA</w:t>
      </w:r>
    </w:p>
    <w:p w14:paraId="7C19B467" w14:textId="14ED7BAD" w:rsidR="006F2807" w:rsidRPr="006F2807" w:rsidRDefault="006F2807" w:rsidP="006F280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6F2807">
        <w:rPr>
          <w:rFonts w:ascii="Arial" w:hAnsi="Arial" w:cs="Arial"/>
          <w:b/>
          <w:sz w:val="24"/>
          <w:szCs w:val="24"/>
        </w:rPr>
        <w:t>El Municipio de Zapopan no tiene deuda contingente o de corto plazo</w:t>
      </w:r>
      <w:r w:rsidRPr="006F2807">
        <w:rPr>
          <w:rFonts w:ascii="Arial" w:hAnsi="Arial" w:cs="Arial"/>
          <w:sz w:val="24"/>
          <w:szCs w:val="24"/>
        </w:rPr>
        <w:t xml:space="preserve">, se tiene un empréstito de largo plazo </w:t>
      </w:r>
      <w:r w:rsidRPr="006F280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por un crédito simple con el Banco Mercantil del Norte (BANORTE) cuyo destino fue para obra pública productiva de un monto inicial de </w:t>
      </w:r>
      <w:r w:rsidRPr="006F280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$1,119'642,857.14 pesos</w:t>
      </w:r>
      <w:r w:rsidR="004744E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que fue adquirida en administraciones pasadas</w:t>
      </w:r>
      <w:r w:rsidRPr="006F280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 A continuación, se detallan algunos aspectos relevantes de la deuda pública municipal en el siguiente informe:</w:t>
      </w:r>
    </w:p>
    <w:p w14:paraId="34F1CECA" w14:textId="4745718B" w:rsidR="00081786" w:rsidRDefault="00081786" w:rsidP="00081786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hAnsi="Arial" w:cs="Arial"/>
          <w:sz w:val="24"/>
        </w:rPr>
        <w:t xml:space="preserve">La deuda pública municipal </w:t>
      </w:r>
      <w:r w:rsidRPr="00D94C51">
        <w:rPr>
          <w:rFonts w:ascii="Arial" w:hAnsi="Arial" w:cs="Arial"/>
          <w:sz w:val="24"/>
        </w:rPr>
        <w:t xml:space="preserve">al 1 </w:t>
      </w:r>
      <w:r>
        <w:rPr>
          <w:rFonts w:ascii="Arial" w:hAnsi="Arial" w:cs="Arial"/>
          <w:sz w:val="24"/>
        </w:rPr>
        <w:t xml:space="preserve">de </w:t>
      </w:r>
      <w:r w:rsidRPr="00D94C51">
        <w:rPr>
          <w:rFonts w:ascii="Arial" w:hAnsi="Arial" w:cs="Arial"/>
          <w:sz w:val="24"/>
        </w:rPr>
        <w:t>diciembre</w:t>
      </w:r>
      <w:r w:rsidR="00AE1F5F">
        <w:rPr>
          <w:rFonts w:ascii="Arial" w:hAnsi="Arial" w:cs="Arial"/>
          <w:sz w:val="24"/>
        </w:rPr>
        <w:t xml:space="preserve"> de 2019</w:t>
      </w:r>
      <w:r w:rsidRPr="00D94C51">
        <w:rPr>
          <w:rFonts w:ascii="Arial" w:hAnsi="Arial" w:cs="Arial"/>
          <w:sz w:val="24"/>
        </w:rPr>
        <w:t xml:space="preserve"> asciende a un monto de </w:t>
      </w:r>
      <w:r w:rsidRPr="0088440C">
        <w:rPr>
          <w:rFonts w:ascii="Arial" w:hAnsi="Arial" w:cs="Arial"/>
          <w:b/>
          <w:color w:val="000000"/>
          <w:sz w:val="24"/>
          <w:szCs w:val="24"/>
        </w:rPr>
        <w:t xml:space="preserve">$956´375,879.99 pesos </w:t>
      </w:r>
      <w:r w:rsidRPr="0088440C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por un crédito simple con el Banco Mercantil del Norte (BANORTE) cuyo destino </w:t>
      </w:r>
      <w:r w:rsidR="0006797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fue el r</w:t>
      </w:r>
      <w:r w:rsidR="0006797D" w:rsidRPr="00661D12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efinanciamiento de los créditos contratados en el 2008</w:t>
      </w:r>
      <w:r w:rsidR="0006797D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y 2011 por</w:t>
      </w:r>
      <w:r w:rsidRPr="0088440C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un monto</w:t>
      </w:r>
      <w:r w:rsidRPr="00D94C5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inicial de </w:t>
      </w:r>
      <w:r w:rsidRPr="00CA032F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$1,119'642,857.14</w:t>
      </w: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en 2014. </w:t>
      </w:r>
    </w:p>
    <w:tbl>
      <w:tblPr>
        <w:tblW w:w="88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2"/>
        <w:gridCol w:w="1543"/>
        <w:gridCol w:w="1686"/>
        <w:gridCol w:w="1900"/>
        <w:gridCol w:w="2753"/>
      </w:tblGrid>
      <w:tr w:rsidR="00081786" w:rsidRPr="00E63394" w14:paraId="2761B35E" w14:textId="77777777" w:rsidTr="002F0A4D">
        <w:trPr>
          <w:trHeight w:val="266"/>
        </w:trPr>
        <w:tc>
          <w:tcPr>
            <w:tcW w:w="8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B96E87C" w14:textId="77777777" w:rsidR="00081786" w:rsidRPr="00E63394" w:rsidRDefault="00081786" w:rsidP="008A3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es-CL"/>
              </w:rPr>
            </w:pPr>
            <w:r w:rsidRPr="00E63394">
              <w:rPr>
                <w:rFonts w:eastAsia="Times New Roman"/>
                <w:b/>
                <w:bCs/>
                <w:color w:val="000000"/>
                <w:szCs w:val="28"/>
                <w:lang w:eastAsia="es-CL"/>
              </w:rPr>
              <w:t>ESTADO DE LA DEUDA PUBLICA AL 1 DE DICIEMBRE 2019</w:t>
            </w:r>
          </w:p>
        </w:tc>
      </w:tr>
      <w:tr w:rsidR="00081786" w:rsidRPr="00E63394" w14:paraId="38160D3B" w14:textId="77777777" w:rsidTr="002F0A4D">
        <w:trPr>
          <w:trHeight w:val="213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DA36" w14:textId="77777777" w:rsidR="00081786" w:rsidRPr="00E63394" w:rsidRDefault="00081786" w:rsidP="008A3BA6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4B3F" w14:textId="77777777" w:rsidR="00081786" w:rsidRPr="00E63394" w:rsidRDefault="00081786" w:rsidP="008A3BA6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6C81" w14:textId="77777777" w:rsidR="00081786" w:rsidRPr="00E63394" w:rsidRDefault="00081786" w:rsidP="008A3BA6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68AD" w14:textId="77777777" w:rsidR="00081786" w:rsidRPr="00E63394" w:rsidRDefault="00081786" w:rsidP="008A3BA6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B08E" w14:textId="77777777" w:rsidR="00081786" w:rsidRPr="00E63394" w:rsidRDefault="00081786" w:rsidP="008A3BA6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081786" w:rsidRPr="00E63394" w14:paraId="113D2330" w14:textId="77777777" w:rsidTr="002F0A4D">
        <w:trPr>
          <w:trHeight w:val="223"/>
        </w:trPr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5B83" w14:textId="77777777" w:rsidR="00081786" w:rsidRPr="00E63394" w:rsidRDefault="00081786" w:rsidP="008A3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E63394">
              <w:rPr>
                <w:rFonts w:eastAsia="Times New Roman"/>
                <w:b/>
                <w:bCs/>
                <w:color w:val="000000"/>
                <w:lang w:eastAsia="es-CL"/>
              </w:rPr>
              <w:t>TIPO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8A95" w14:textId="77777777" w:rsidR="00081786" w:rsidRPr="00E63394" w:rsidRDefault="00081786" w:rsidP="008A3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E63394">
              <w:rPr>
                <w:rFonts w:eastAsia="Times New Roman"/>
                <w:b/>
                <w:bCs/>
                <w:color w:val="000000"/>
                <w:lang w:eastAsia="es-CL"/>
              </w:rPr>
              <w:t>BANCO ACREEDOR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2F5F" w14:textId="77777777" w:rsidR="00081786" w:rsidRPr="00E63394" w:rsidRDefault="00081786" w:rsidP="008A3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E63394">
              <w:rPr>
                <w:rFonts w:eastAsia="Times New Roman"/>
                <w:b/>
                <w:bCs/>
                <w:color w:val="000000"/>
                <w:lang w:eastAsia="es-CL"/>
              </w:rPr>
              <w:t>CONCEPTO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4705" w14:textId="77777777" w:rsidR="00081786" w:rsidRPr="00E63394" w:rsidRDefault="00081786" w:rsidP="008A3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E63394">
              <w:rPr>
                <w:rFonts w:eastAsia="Times New Roman"/>
                <w:b/>
                <w:bCs/>
                <w:color w:val="000000"/>
                <w:lang w:eastAsia="es-CL"/>
              </w:rPr>
              <w:t>MONTO INICIAL DEL CREDITO</w:t>
            </w: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803B" w14:textId="77777777" w:rsidR="00081786" w:rsidRPr="00E63394" w:rsidRDefault="00081786" w:rsidP="008A3B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E63394">
              <w:rPr>
                <w:rFonts w:eastAsia="Times New Roman"/>
                <w:b/>
                <w:bCs/>
                <w:color w:val="000000"/>
                <w:lang w:eastAsia="es-CL"/>
              </w:rPr>
              <w:t>SALDO INSOLUTO</w:t>
            </w:r>
          </w:p>
        </w:tc>
      </w:tr>
      <w:tr w:rsidR="00081786" w:rsidRPr="00E63394" w14:paraId="1442EB40" w14:textId="77777777" w:rsidTr="0006797D">
        <w:trPr>
          <w:trHeight w:val="223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B469" w14:textId="77777777" w:rsidR="00081786" w:rsidRPr="00E63394" w:rsidRDefault="00081786" w:rsidP="0006797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CL"/>
              </w:rPr>
            </w:pPr>
            <w:r w:rsidRPr="00E63394">
              <w:rPr>
                <w:rFonts w:eastAsia="Times New Roman"/>
                <w:color w:val="000000"/>
                <w:szCs w:val="24"/>
                <w:lang w:eastAsia="es-CL"/>
              </w:rPr>
              <w:t>CREDITO SIMPLE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1C52764" w14:textId="77777777" w:rsidR="00081786" w:rsidRPr="00E63394" w:rsidRDefault="00081786" w:rsidP="0006797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CL"/>
              </w:rPr>
            </w:pPr>
            <w:r w:rsidRPr="00E63394">
              <w:rPr>
                <w:rFonts w:eastAsia="Times New Roman"/>
                <w:color w:val="000000"/>
                <w:szCs w:val="24"/>
                <w:lang w:eastAsia="es-CL"/>
              </w:rPr>
              <w:t>BANCO MERCANTIL DEL NORTE, S.A.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FBEB" w14:textId="0B7022EC" w:rsidR="00081786" w:rsidRPr="00E63394" w:rsidRDefault="0006797D" w:rsidP="0006797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CL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Refinanciamiento de los créditos contratados en el 2008 con el Banco Nacional de México S.A. Integrante del grupo financiero Banamex y en 2011 con el Banco mercantil del norte S.A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958" w14:textId="77777777" w:rsidR="00081786" w:rsidRPr="00E63394" w:rsidRDefault="00081786" w:rsidP="0006797D">
            <w:pPr>
              <w:spacing w:after="0" w:line="240" w:lineRule="auto"/>
              <w:jc w:val="center"/>
              <w:rPr>
                <w:rFonts w:eastAsia="Times New Roman"/>
                <w:color w:val="000000"/>
                <w:szCs w:val="24"/>
                <w:lang w:eastAsia="es-CL"/>
              </w:rPr>
            </w:pPr>
            <w:r w:rsidRPr="00E63394">
              <w:rPr>
                <w:rFonts w:eastAsia="Times New Roman"/>
                <w:color w:val="000000"/>
                <w:szCs w:val="24"/>
                <w:lang w:eastAsia="es-CL"/>
              </w:rPr>
              <w:t>$1,119,642,857.14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</w:tcPr>
          <w:p w14:paraId="49F3424A" w14:textId="67F8601E" w:rsidR="00081786" w:rsidRPr="00E63394" w:rsidRDefault="00081786" w:rsidP="0006797D">
            <w:pPr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es-CL"/>
              </w:rPr>
            </w:pPr>
            <w:r w:rsidRPr="00E63394">
              <w:rPr>
                <w:rFonts w:cs="Calibri"/>
                <w:b/>
                <w:color w:val="000000"/>
                <w:szCs w:val="28"/>
              </w:rPr>
              <w:t>$ 956’375,879.99</w:t>
            </w:r>
          </w:p>
        </w:tc>
      </w:tr>
    </w:tbl>
    <w:p w14:paraId="6647ABF9" w14:textId="77777777" w:rsidR="00081786" w:rsidRDefault="00081786" w:rsidP="00081786">
      <w:pPr>
        <w:jc w:val="both"/>
        <w:rPr>
          <w:rFonts w:ascii="Arial" w:hAnsi="Arial" w:cs="Arial"/>
          <w:b/>
          <w:sz w:val="20"/>
        </w:rPr>
      </w:pPr>
    </w:p>
    <w:p w14:paraId="669D525C" w14:textId="361A1AC4" w:rsidR="00081786" w:rsidRDefault="00081786" w:rsidP="000817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escenario de la deuda en 2020 es que sea inferior en 215 millones de pesos, es decir cerrar en $904’339,212.00 pesos, lo que representa un 19 % menos del monto inicial del crédito de 1,119 millones de pesos. Cabe señalar que Zapopan se encuentra actualmente en </w:t>
      </w:r>
      <w:r w:rsidRPr="00C66CAB">
        <w:rPr>
          <w:rFonts w:ascii="Arial" w:hAnsi="Arial" w:cs="Arial"/>
          <w:b/>
          <w:sz w:val="24"/>
        </w:rPr>
        <w:t>“endeudamiento sostenible”</w:t>
      </w:r>
      <w:r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sz w:val="24"/>
        </w:rPr>
        <w:t>(</w:t>
      </w:r>
      <w:r w:rsidRPr="002251C1">
        <w:rPr>
          <w:rFonts w:ascii="Arial" w:hAnsi="Arial" w:cs="Arial"/>
          <w:b/>
          <w:sz w:val="24"/>
        </w:rPr>
        <w:t>verde</w:t>
      </w:r>
      <w:r>
        <w:rPr>
          <w:rFonts w:ascii="Arial" w:hAnsi="Arial" w:cs="Arial"/>
          <w:b/>
          <w:sz w:val="24"/>
        </w:rPr>
        <w:t>)</w:t>
      </w:r>
      <w:r>
        <w:rPr>
          <w:rStyle w:val="Refdenotaalpie"/>
          <w:rFonts w:ascii="Arial" w:hAnsi="Arial" w:cs="Arial"/>
          <w:sz w:val="24"/>
        </w:rPr>
        <w:footnoteReference w:id="2"/>
      </w:r>
      <w:r>
        <w:rPr>
          <w:rFonts w:ascii="Arial" w:hAnsi="Arial" w:cs="Arial"/>
          <w:sz w:val="24"/>
        </w:rPr>
        <w:t xml:space="preserve"> en cada indicador del </w:t>
      </w:r>
      <w:r w:rsidRPr="00EB1AD7">
        <w:rPr>
          <w:rFonts w:ascii="Arial" w:hAnsi="Arial" w:cs="Arial"/>
          <w:i/>
          <w:sz w:val="24"/>
        </w:rPr>
        <w:t>Sistema de Alerta de Endeudamiento</w:t>
      </w:r>
      <w:r>
        <w:rPr>
          <w:rFonts w:ascii="Arial" w:hAnsi="Arial" w:cs="Arial"/>
          <w:sz w:val="24"/>
        </w:rPr>
        <w:t xml:space="preserve"> que administra la Secretaría de Hacienda y Crédito Público del Gobierno Federal, lo que significa una solidez financiera en el manejo de la deuda pública y en las finanzas municipales. </w:t>
      </w:r>
    </w:p>
    <w:p w14:paraId="0B1D8FFF" w14:textId="3E8C5B6E" w:rsidR="002F0A4D" w:rsidRDefault="00081786" w:rsidP="000817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igual manera el Municipio de Zapopan tiene en 2019 la nota crediticia más alta para municipios en México (Fitch Ratings)</w:t>
      </w:r>
      <w:r>
        <w:rPr>
          <w:rStyle w:val="Refdenotaalpie"/>
          <w:rFonts w:ascii="Arial" w:hAnsi="Arial" w:cs="Arial"/>
          <w:sz w:val="24"/>
        </w:rPr>
        <w:footnoteReference w:id="3"/>
      </w:r>
      <w:r>
        <w:rPr>
          <w:rFonts w:ascii="Arial" w:hAnsi="Arial" w:cs="Arial"/>
          <w:sz w:val="24"/>
        </w:rPr>
        <w:t xml:space="preserve">, con una calificación </w:t>
      </w:r>
      <w:r w:rsidRPr="001A31AA">
        <w:rPr>
          <w:rFonts w:ascii="Arial" w:hAnsi="Arial" w:cs="Arial"/>
          <w:i/>
          <w:sz w:val="24"/>
        </w:rPr>
        <w:t xml:space="preserve">AAA con </w:t>
      </w:r>
      <w:r w:rsidRPr="001A31AA">
        <w:rPr>
          <w:rFonts w:ascii="Arial" w:hAnsi="Arial" w:cs="Arial"/>
          <w:i/>
          <w:sz w:val="24"/>
        </w:rPr>
        <w:lastRenderedPageBreak/>
        <w:t>perspectiva establ</w:t>
      </w:r>
      <w:r>
        <w:rPr>
          <w:rFonts w:ascii="Arial" w:hAnsi="Arial" w:cs="Arial"/>
          <w:i/>
          <w:sz w:val="24"/>
        </w:rPr>
        <w:t>e</w:t>
      </w:r>
      <w:r>
        <w:rPr>
          <w:rFonts w:ascii="Arial" w:hAnsi="Arial" w:cs="Arial"/>
          <w:sz w:val="24"/>
        </w:rPr>
        <w:t>, c</w:t>
      </w:r>
      <w:r w:rsidRPr="00040A93">
        <w:rPr>
          <w:rFonts w:ascii="Arial" w:hAnsi="Arial" w:cs="Arial"/>
          <w:sz w:val="24"/>
        </w:rPr>
        <w:t>on esta calificación crediticia, Zapopan se coloca por encima del Gobierno Estatal y de la Federación</w:t>
      </w:r>
      <w:r>
        <w:rPr>
          <w:rStyle w:val="Refdenotaalpie"/>
          <w:rFonts w:ascii="Arial" w:hAnsi="Arial" w:cs="Arial"/>
          <w:sz w:val="24"/>
        </w:rPr>
        <w:footnoteReference w:id="4"/>
      </w:r>
      <w:r>
        <w:rPr>
          <w:rFonts w:ascii="Arial" w:hAnsi="Arial" w:cs="Arial"/>
          <w:sz w:val="24"/>
        </w:rPr>
        <w:t>.</w:t>
      </w:r>
    </w:p>
    <w:p w14:paraId="299C6075" w14:textId="77777777" w:rsidR="0006797D" w:rsidRDefault="0006797D" w:rsidP="00081786">
      <w:pPr>
        <w:jc w:val="both"/>
        <w:rPr>
          <w:rFonts w:ascii="Arial" w:hAnsi="Arial" w:cs="Arial"/>
          <w:sz w:val="24"/>
        </w:rPr>
      </w:pPr>
    </w:p>
    <w:p w14:paraId="58E85866" w14:textId="77777777" w:rsidR="00CA1199" w:rsidRDefault="00CA1199" w:rsidP="00CA119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03D3">
        <w:rPr>
          <w:rFonts w:ascii="Arial" w:hAnsi="Arial" w:cs="Arial"/>
          <w:b/>
          <w:sz w:val="24"/>
          <w:szCs w:val="24"/>
        </w:rPr>
        <w:t>PROYECCIONES DE LA DEUDA PÚBLICA PARA EL EJERCICIO FISCAL 2020</w:t>
      </w:r>
    </w:p>
    <w:p w14:paraId="1B1DF289" w14:textId="77777777" w:rsidR="004F03D3" w:rsidRDefault="004F03D3" w:rsidP="00CA1199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14:paraId="7CB2914C" w14:textId="2E860736" w:rsidR="004F03D3" w:rsidRDefault="004F03D3" w:rsidP="004F03D3">
      <w:pPr>
        <w:rPr>
          <w:rFonts w:ascii="Arial" w:hAnsi="Arial" w:cs="Arial"/>
          <w:b/>
          <w:sz w:val="18"/>
          <w:szCs w:val="18"/>
        </w:rPr>
      </w:pPr>
      <w:r w:rsidRPr="004F03D3">
        <w:rPr>
          <w:rFonts w:ascii="Arial" w:hAnsi="Arial" w:cs="Arial"/>
          <w:b/>
          <w:sz w:val="18"/>
          <w:szCs w:val="18"/>
        </w:rPr>
        <w:t>CRÉDITO BANORTE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0"/>
        <w:gridCol w:w="1476"/>
        <w:gridCol w:w="1545"/>
        <w:gridCol w:w="1727"/>
        <w:gridCol w:w="1545"/>
        <w:gridCol w:w="1455"/>
      </w:tblGrid>
      <w:tr w:rsidR="002C57E1" w:rsidRPr="003473F4" w14:paraId="744CF736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4FC71BF4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MES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2488379C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INICIAL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18CA1897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1C1E262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4BAB9DE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SUMA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5" w:themeFillTint="66"/>
            <w:noWrap/>
            <w:vAlign w:val="bottom"/>
            <w:hideMark/>
          </w:tcPr>
          <w:p w14:paraId="11D6B0E5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SALDO FINAL</w:t>
            </w:r>
          </w:p>
        </w:tc>
      </w:tr>
      <w:tr w:rsidR="002C57E1" w:rsidRPr="003473F4" w14:paraId="5AEE9C39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D165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1F66A" w14:textId="77777777" w:rsidR="002C57E1" w:rsidRPr="003473F4" w:rsidRDefault="002C57E1" w:rsidP="00A45E17">
            <w:pPr>
              <w:pStyle w:val="Sinespaciado"/>
              <w:rPr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41D5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75F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ADD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4735F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C57E1" w:rsidRPr="003473F4" w14:paraId="2B97856E" w14:textId="77777777" w:rsidTr="00A45E17">
        <w:trPr>
          <w:trHeight w:val="300"/>
        </w:trPr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1FD6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25-ene-20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227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$952,675,873.29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487E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$3,748,105.77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D7B2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$6,029,644.38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C446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$9,777,750.15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6788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DA2A7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$948,927,767.52</w:t>
            </w:r>
          </w:p>
        </w:tc>
      </w:tr>
      <w:tr w:rsidR="002C57E1" w:rsidRPr="003473F4" w14:paraId="668A1067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8933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25-feb-20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6B3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$948,927,767.52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7A17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$3,796,831.15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C562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$5,618,443.16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125A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$9,415,274.31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C0B1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$945,130,936.37</w:t>
            </w:r>
          </w:p>
        </w:tc>
      </w:tr>
      <w:tr w:rsidR="002C57E1" w:rsidRPr="003473F4" w14:paraId="26541282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31E8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25-mar-20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801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$945,130,936.37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31B9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$3,846,189.96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5C99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$5,981,891.22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43F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$9,828,081.18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B53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$941,284,746.41</w:t>
            </w:r>
          </w:p>
        </w:tc>
      </w:tr>
      <w:tr w:rsidR="002C57E1" w:rsidRPr="003473F4" w14:paraId="4BE643BA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D986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25-abr-20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AA6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$941,284,746.41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DA251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$3,896,190.42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C6ED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$5,765,369.07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992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$9,661,559.49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991A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$937,388,555.99</w:t>
            </w:r>
          </w:p>
        </w:tc>
      </w:tr>
      <w:tr w:rsidR="002C57E1" w:rsidRPr="003473F4" w14:paraId="30CF5664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02C5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25-may-20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355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$937,388,555.99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AC37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$3,946,840.90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90C0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$5,932,888.40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D644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$9,879,729.30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B13D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$933,441,715.09</w:t>
            </w:r>
          </w:p>
        </w:tc>
      </w:tr>
      <w:tr w:rsidR="002C57E1" w:rsidRPr="003473F4" w14:paraId="5F79C0DF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FD17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25-jun-20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2F21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$933,441,715.09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BB4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$3,998,149.83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B9FD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$5,717,330.50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F527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$9,715,480.33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B5A1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$929,443,565.26</w:t>
            </w:r>
          </w:p>
        </w:tc>
      </w:tr>
      <w:tr w:rsidR="002C57E1" w:rsidRPr="003473F4" w14:paraId="16E1D3C1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0D9E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25-jul-20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41BC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$929,443,565.26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B340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$4,050,125.78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4BB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$5,882,603.23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2897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$9,932,729.01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F2D0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$925,393,439.48</w:t>
            </w:r>
          </w:p>
        </w:tc>
      </w:tr>
      <w:tr w:rsidR="002C57E1" w:rsidRPr="003473F4" w14:paraId="7444392C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63C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25-ago-20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EE17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$925,393,439.48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5C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$4,102,777.41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C3A0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$5,856,969.31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CAE1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$9,959,746.72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2063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$921,290,662.07</w:t>
            </w:r>
          </w:p>
        </w:tc>
      </w:tr>
      <w:tr w:rsidR="002C57E1" w:rsidRPr="003473F4" w14:paraId="574E23E5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4A90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25-sep-20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60A4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$921,290,662.07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1D78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$4,156,113.52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264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$5,642,905.31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9ADD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$9,799,018.83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D4E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$917,134,548.55</w:t>
            </w:r>
          </w:p>
        </w:tc>
      </w:tr>
      <w:tr w:rsidR="002C57E1" w:rsidRPr="003473F4" w14:paraId="5D3A68A8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104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25-oct-20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04B6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$917,134,548.55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A771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$4,210,142.99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E0D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$5,804,697.41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24CE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$10,014,840.40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FC1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$912,924,405.56</w:t>
            </w:r>
          </w:p>
        </w:tc>
      </w:tr>
      <w:tr w:rsidR="002C57E1" w:rsidRPr="003473F4" w14:paraId="4274AB40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CE7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25-nov-20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B356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$912,924,405.56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8B83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$4,264,874.85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ECF1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$5,591,661.98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B6EA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$9,856,536.83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EEEB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$908,659,530.71</w:t>
            </w:r>
          </w:p>
        </w:tc>
      </w:tr>
      <w:tr w:rsidR="002C57E1" w:rsidRPr="003473F4" w14:paraId="0CACD6DA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9616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25-dic-20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89A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$908,659,530.71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C12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$4,320,318.23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1445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$5,751,057.61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7FFF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$10,071,375.84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26D0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$904,339,212.48</w:t>
            </w:r>
          </w:p>
        </w:tc>
      </w:tr>
      <w:tr w:rsidR="002C57E1" w:rsidRPr="003473F4" w14:paraId="6F49C076" w14:textId="77777777" w:rsidTr="00A45E17">
        <w:trPr>
          <w:trHeight w:val="300"/>
        </w:trPr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2224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9AB6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3DF0" w14:textId="77777777" w:rsidR="002C57E1" w:rsidRPr="00DA2A78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DA2A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$48,336,660.81</w:t>
            </w: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09E8" w14:textId="77777777" w:rsidR="002C57E1" w:rsidRPr="00DA2A78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DA2A7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$69,575,461.59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14CC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3473F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$117,912,122.40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B857" w14:textId="77777777" w:rsidR="002C57E1" w:rsidRPr="003473F4" w:rsidRDefault="002C57E1" w:rsidP="00A45E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16C5DEEC" w14:textId="77777777" w:rsidR="002C57E1" w:rsidRDefault="002C57E1" w:rsidP="002C57E1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5D4BDC61" w14:textId="6C936E35" w:rsidR="004F03D3" w:rsidRDefault="004F03D3" w:rsidP="004F03D3">
      <w:pPr>
        <w:spacing w:line="240" w:lineRule="auto"/>
        <w:ind w:firstLine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**CALCULO A LA TASA TIIE +.75 </w:t>
      </w:r>
    </w:p>
    <w:p w14:paraId="3FF519DA" w14:textId="77777777" w:rsidR="006F2807" w:rsidRDefault="006F2807" w:rsidP="00CA1199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14:paraId="12606BB1" w14:textId="255A5C35" w:rsidR="006F2807" w:rsidRDefault="006F2807" w:rsidP="006F2807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sz w:val="24"/>
        </w:rPr>
      </w:pPr>
      <w:r w:rsidRPr="006F2807">
        <w:rPr>
          <w:rFonts w:ascii="Arial" w:hAnsi="Arial" w:cs="Arial"/>
          <w:b/>
          <w:sz w:val="24"/>
        </w:rPr>
        <w:t>ACCIONES PARA MITIGAR LA DEUDA PÚBLICA MUNICIPAL</w:t>
      </w:r>
      <w:r w:rsidR="00E721E6">
        <w:rPr>
          <w:rFonts w:ascii="Arial" w:hAnsi="Arial" w:cs="Arial"/>
          <w:b/>
          <w:sz w:val="24"/>
        </w:rPr>
        <w:t xml:space="preserve"> </w:t>
      </w:r>
      <w:r w:rsidR="00230E5E">
        <w:rPr>
          <w:rFonts w:ascii="Arial" w:hAnsi="Arial" w:cs="Arial"/>
          <w:b/>
          <w:sz w:val="24"/>
        </w:rPr>
        <w:t>EN 2020</w:t>
      </w:r>
    </w:p>
    <w:p w14:paraId="0FDCF54F" w14:textId="77777777" w:rsidR="004744E7" w:rsidRPr="006F2807" w:rsidRDefault="004744E7" w:rsidP="004744E7">
      <w:pPr>
        <w:pStyle w:val="Prrafodelista"/>
        <w:spacing w:line="240" w:lineRule="auto"/>
        <w:jc w:val="both"/>
        <w:rPr>
          <w:rFonts w:ascii="Arial" w:hAnsi="Arial" w:cs="Arial"/>
          <w:b/>
          <w:sz w:val="24"/>
        </w:rPr>
      </w:pPr>
    </w:p>
    <w:p w14:paraId="40844E92" w14:textId="6233E9BA" w:rsidR="006F2807" w:rsidRPr="0006797D" w:rsidRDefault="006F2807" w:rsidP="0006797D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Disciplina financiera y responsabilidad fiscal</w:t>
      </w:r>
      <w:r w:rsidR="00774386">
        <w:rPr>
          <w:rFonts w:ascii="Arial" w:hAnsi="Arial" w:cs="Arial"/>
          <w:sz w:val="24"/>
        </w:rPr>
        <w:t xml:space="preserve"> en el uso de los recursos municipales </w:t>
      </w:r>
    </w:p>
    <w:p w14:paraId="278026A9" w14:textId="1B3C390F" w:rsidR="006F2807" w:rsidRPr="0006797D" w:rsidRDefault="006F2807" w:rsidP="0006797D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r w:rsidRPr="0063281E">
        <w:rPr>
          <w:rFonts w:ascii="Arial" w:hAnsi="Arial" w:cs="Arial"/>
          <w:sz w:val="24"/>
        </w:rPr>
        <w:t>Pag</w:t>
      </w:r>
      <w:r w:rsidR="00F7086E">
        <w:rPr>
          <w:rFonts w:ascii="Arial" w:hAnsi="Arial" w:cs="Arial"/>
          <w:sz w:val="24"/>
        </w:rPr>
        <w:t>ar</w:t>
      </w:r>
      <w:r w:rsidRPr="0063281E">
        <w:rPr>
          <w:rFonts w:ascii="Arial" w:hAnsi="Arial" w:cs="Arial"/>
          <w:sz w:val="24"/>
        </w:rPr>
        <w:t xml:space="preserve"> </w:t>
      </w:r>
      <w:r w:rsidR="00F7086E">
        <w:rPr>
          <w:rFonts w:ascii="Arial" w:hAnsi="Arial" w:cs="Arial"/>
          <w:sz w:val="24"/>
        </w:rPr>
        <w:t xml:space="preserve">de manera </w:t>
      </w:r>
      <w:r w:rsidRPr="0063281E">
        <w:rPr>
          <w:rFonts w:ascii="Arial" w:hAnsi="Arial" w:cs="Arial"/>
          <w:sz w:val="24"/>
        </w:rPr>
        <w:t>oportun</w:t>
      </w:r>
      <w:r w:rsidR="00F7086E">
        <w:rPr>
          <w:rFonts w:ascii="Arial" w:hAnsi="Arial" w:cs="Arial"/>
          <w:sz w:val="24"/>
        </w:rPr>
        <w:t>a</w:t>
      </w:r>
      <w:r w:rsidRPr="0063281E">
        <w:rPr>
          <w:rFonts w:ascii="Arial" w:hAnsi="Arial" w:cs="Arial"/>
          <w:sz w:val="24"/>
        </w:rPr>
        <w:t xml:space="preserve"> </w:t>
      </w:r>
      <w:r w:rsidR="00F7086E">
        <w:rPr>
          <w:rFonts w:ascii="Arial" w:hAnsi="Arial" w:cs="Arial"/>
          <w:sz w:val="24"/>
        </w:rPr>
        <w:t>l</w:t>
      </w:r>
      <w:r w:rsidRPr="0063281E">
        <w:rPr>
          <w:rFonts w:ascii="Arial" w:hAnsi="Arial" w:cs="Arial"/>
          <w:sz w:val="24"/>
        </w:rPr>
        <w:t xml:space="preserve">os compromisos financieros </w:t>
      </w:r>
      <w:r>
        <w:rPr>
          <w:rFonts w:ascii="Arial" w:hAnsi="Arial" w:cs="Arial"/>
          <w:sz w:val="24"/>
        </w:rPr>
        <w:t>para mantener una adecuada calificación</w:t>
      </w:r>
      <w:r w:rsidR="00774386">
        <w:rPr>
          <w:rFonts w:ascii="Arial" w:hAnsi="Arial" w:cs="Arial"/>
          <w:sz w:val="24"/>
        </w:rPr>
        <w:t xml:space="preserve"> crediticia por parte del municipio.</w:t>
      </w:r>
    </w:p>
    <w:p w14:paraId="2499EDCF" w14:textId="731C640B" w:rsidR="00BC792C" w:rsidRPr="0006797D" w:rsidRDefault="006F2807" w:rsidP="0006797D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Incremen</w:t>
      </w:r>
      <w:r w:rsidR="00F7086E">
        <w:rPr>
          <w:rFonts w:ascii="Arial" w:hAnsi="Arial" w:cs="Arial"/>
          <w:sz w:val="24"/>
        </w:rPr>
        <w:t xml:space="preserve">tar </w:t>
      </w:r>
      <w:r>
        <w:rPr>
          <w:rFonts w:ascii="Arial" w:hAnsi="Arial" w:cs="Arial"/>
          <w:sz w:val="24"/>
        </w:rPr>
        <w:t>los ingresos propios para aumentar la disponibilidad de recursos</w:t>
      </w:r>
      <w:r w:rsidR="00B819E4">
        <w:rPr>
          <w:rFonts w:ascii="Arial" w:hAnsi="Arial" w:cs="Arial"/>
          <w:sz w:val="24"/>
        </w:rPr>
        <w:t xml:space="preserve"> a atreves de la eficiencia recaudatoria.</w:t>
      </w:r>
    </w:p>
    <w:p w14:paraId="11F8D718" w14:textId="7921E542" w:rsidR="006F2807" w:rsidRPr="00BC792C" w:rsidRDefault="00774386" w:rsidP="00BC792C">
      <w:pPr>
        <w:pStyle w:val="Prrafodelista"/>
        <w:numPr>
          <w:ilvl w:val="0"/>
          <w:numId w:val="15"/>
        </w:numPr>
        <w:spacing w:line="240" w:lineRule="auto"/>
        <w:ind w:left="1428"/>
        <w:jc w:val="both"/>
        <w:rPr>
          <w:rFonts w:ascii="Arial" w:hAnsi="Arial" w:cs="Arial"/>
          <w:sz w:val="24"/>
        </w:rPr>
      </w:pPr>
      <w:proofErr w:type="spellStart"/>
      <w:r w:rsidRPr="00BC792C">
        <w:rPr>
          <w:rFonts w:ascii="Arial" w:hAnsi="Arial" w:cs="Arial"/>
          <w:sz w:val="24"/>
        </w:rPr>
        <w:t>Eficientar</w:t>
      </w:r>
      <w:proofErr w:type="spellEnd"/>
      <w:r w:rsidR="00F7086E" w:rsidRPr="00BC792C">
        <w:rPr>
          <w:rFonts w:ascii="Arial" w:hAnsi="Arial" w:cs="Arial"/>
          <w:sz w:val="24"/>
        </w:rPr>
        <w:t xml:space="preserve"> el gasto público </w:t>
      </w:r>
      <w:r w:rsidR="00AC114F" w:rsidRPr="00BC792C">
        <w:rPr>
          <w:rFonts w:ascii="Arial" w:hAnsi="Arial" w:cs="Arial"/>
          <w:sz w:val="24"/>
        </w:rPr>
        <w:t xml:space="preserve">en proyectos estratégicos y productivos que generen competitividad municipal para que en el mediano plazo </w:t>
      </w:r>
      <w:r w:rsidR="00BC792C" w:rsidRPr="00BC792C">
        <w:rPr>
          <w:rFonts w:ascii="Arial" w:hAnsi="Arial" w:cs="Arial"/>
          <w:sz w:val="24"/>
        </w:rPr>
        <w:t xml:space="preserve">produzcan un </w:t>
      </w:r>
      <w:r w:rsidR="004F03D3" w:rsidRPr="00BC792C">
        <w:rPr>
          <w:rFonts w:ascii="Arial" w:hAnsi="Arial" w:cs="Arial"/>
          <w:sz w:val="24"/>
        </w:rPr>
        <w:t>círculo</w:t>
      </w:r>
      <w:r w:rsidR="00BC792C" w:rsidRPr="00BC792C">
        <w:rPr>
          <w:rFonts w:ascii="Arial" w:hAnsi="Arial" w:cs="Arial"/>
          <w:sz w:val="24"/>
        </w:rPr>
        <w:t xml:space="preserve"> virtuoso recaudatorio. </w:t>
      </w:r>
    </w:p>
    <w:sectPr w:rsidR="006F2807" w:rsidRPr="00BC792C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1CC65" w14:textId="77777777" w:rsidR="002A72AA" w:rsidRDefault="002A72AA" w:rsidP="00C9766A">
      <w:pPr>
        <w:spacing w:after="0" w:line="240" w:lineRule="auto"/>
      </w:pPr>
      <w:r>
        <w:separator/>
      </w:r>
    </w:p>
  </w:endnote>
  <w:endnote w:type="continuationSeparator" w:id="0">
    <w:p w14:paraId="736E0914" w14:textId="77777777" w:rsidR="002A72AA" w:rsidRDefault="002A72AA" w:rsidP="00C9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BB67" w14:textId="77777777" w:rsidR="00E76402" w:rsidRPr="00B26194" w:rsidRDefault="00E76402">
    <w:pPr>
      <w:pStyle w:val="Piedepgina"/>
      <w:jc w:val="center"/>
      <w:rPr>
        <w:rFonts w:ascii="Titillium" w:hAnsi="Titillium"/>
      </w:rPr>
    </w:pPr>
    <w:r w:rsidRPr="00B26194">
      <w:rPr>
        <w:rFonts w:ascii="Titillium" w:hAnsi="Titillium" w:cs="Arial"/>
        <w:sz w:val="18"/>
        <w:szCs w:val="18"/>
      </w:rPr>
      <w:t xml:space="preserve">Página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PAGE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F100F5">
      <w:rPr>
        <w:rFonts w:ascii="Titillium" w:hAnsi="Titillium" w:cs="Arial"/>
        <w:b/>
        <w:noProof/>
        <w:sz w:val="18"/>
        <w:szCs w:val="18"/>
      </w:rPr>
      <w:t>5</w:t>
    </w:r>
    <w:r w:rsidRPr="00B26194">
      <w:rPr>
        <w:rFonts w:ascii="Titillium" w:hAnsi="Titillium" w:cs="Arial"/>
        <w:b/>
        <w:sz w:val="18"/>
        <w:szCs w:val="18"/>
      </w:rPr>
      <w:fldChar w:fldCharType="end"/>
    </w:r>
    <w:r w:rsidRPr="00B26194">
      <w:rPr>
        <w:rFonts w:ascii="Titillium" w:hAnsi="Titillium" w:cs="Arial"/>
        <w:sz w:val="18"/>
        <w:szCs w:val="18"/>
      </w:rPr>
      <w:t xml:space="preserve"> de </w:t>
    </w:r>
    <w:r w:rsidRPr="00B26194">
      <w:rPr>
        <w:rFonts w:ascii="Titillium" w:hAnsi="Titillium" w:cs="Arial"/>
        <w:b/>
        <w:sz w:val="18"/>
        <w:szCs w:val="18"/>
      </w:rPr>
      <w:fldChar w:fldCharType="begin"/>
    </w:r>
    <w:r w:rsidRPr="00B26194">
      <w:rPr>
        <w:rFonts w:ascii="Titillium" w:hAnsi="Titillium" w:cs="Arial"/>
        <w:b/>
        <w:sz w:val="18"/>
        <w:szCs w:val="18"/>
      </w:rPr>
      <w:instrText>NUMPAGES</w:instrText>
    </w:r>
    <w:r w:rsidRPr="00B26194">
      <w:rPr>
        <w:rFonts w:ascii="Titillium" w:hAnsi="Titillium" w:cs="Arial"/>
        <w:b/>
        <w:sz w:val="18"/>
        <w:szCs w:val="18"/>
      </w:rPr>
      <w:fldChar w:fldCharType="separate"/>
    </w:r>
    <w:r w:rsidR="00F100F5">
      <w:rPr>
        <w:rFonts w:ascii="Titillium" w:hAnsi="Titillium" w:cs="Arial"/>
        <w:b/>
        <w:noProof/>
        <w:sz w:val="18"/>
        <w:szCs w:val="18"/>
      </w:rPr>
      <w:t>5</w:t>
    </w:r>
    <w:r w:rsidRPr="00B26194">
      <w:rPr>
        <w:rFonts w:ascii="Titillium" w:hAnsi="Titillium" w:cs="Arial"/>
        <w:b/>
        <w:sz w:val="18"/>
        <w:szCs w:val="18"/>
      </w:rPr>
      <w:fldChar w:fldCharType="end"/>
    </w:r>
  </w:p>
  <w:p w14:paraId="3606BB68" w14:textId="77777777" w:rsidR="00E76402" w:rsidRDefault="00E764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8931E" w14:textId="77777777" w:rsidR="002A72AA" w:rsidRDefault="002A72AA" w:rsidP="00C9766A">
      <w:pPr>
        <w:spacing w:after="0" w:line="240" w:lineRule="auto"/>
      </w:pPr>
      <w:r>
        <w:separator/>
      </w:r>
    </w:p>
  </w:footnote>
  <w:footnote w:type="continuationSeparator" w:id="0">
    <w:p w14:paraId="06D2154E" w14:textId="77777777" w:rsidR="002A72AA" w:rsidRDefault="002A72AA" w:rsidP="00C9766A">
      <w:pPr>
        <w:spacing w:after="0" w:line="240" w:lineRule="auto"/>
      </w:pPr>
      <w:r>
        <w:continuationSeparator/>
      </w:r>
    </w:p>
  </w:footnote>
  <w:footnote w:id="1">
    <w:p w14:paraId="3606BB6D" w14:textId="6671F953" w:rsidR="0001542A" w:rsidRPr="0001542A" w:rsidRDefault="0001542A" w:rsidP="0001542A">
      <w:pPr>
        <w:jc w:val="both"/>
        <w:rPr>
          <w:rFonts w:ascii="Arial" w:hAnsi="Arial" w:cs="Arial"/>
          <w:sz w:val="24"/>
          <w:szCs w:val="24"/>
        </w:rPr>
      </w:pPr>
      <w:r>
        <w:rPr>
          <w:rStyle w:val="Refdenotaalpie"/>
        </w:rPr>
        <w:footnoteRef/>
      </w:r>
      <w:r>
        <w:t xml:space="preserve"> </w:t>
      </w:r>
      <w:r w:rsidR="00780BEF">
        <w:t xml:space="preserve">Con información del </w:t>
      </w:r>
      <w:r w:rsidR="007C459F">
        <w:t>Proyecto Econ</w:t>
      </w:r>
      <w:r w:rsidR="00113B59">
        <w:t xml:space="preserve">ómico y </w:t>
      </w:r>
      <w:r w:rsidR="00780BEF">
        <w:t>los Criterios Generales de la Política Económica 20</w:t>
      </w:r>
      <w:r w:rsidR="00113B59">
        <w:t>20 del Gobierno Federal por medio de la SHCP</w:t>
      </w:r>
      <w:r w:rsidR="00780BEF">
        <w:t xml:space="preserve">: </w:t>
      </w:r>
      <w:hyperlink r:id="rId1" w:history="1">
        <w:r w:rsidR="00113B59">
          <w:rPr>
            <w:rStyle w:val="Hipervnculo"/>
          </w:rPr>
          <w:t>https://www.finanzaspublicas.hacienda.gob.mx/es/Finanzas_Publicas/Paquete_Economico_y_Presupuesto</w:t>
        </w:r>
      </w:hyperlink>
    </w:p>
  </w:footnote>
  <w:footnote w:id="2">
    <w:p w14:paraId="516C4251" w14:textId="77777777" w:rsidR="00081786" w:rsidRPr="006A1A3C" w:rsidRDefault="00081786" w:rsidP="00081786">
      <w:pPr>
        <w:pStyle w:val="Textonotapie"/>
        <w:jc w:val="both"/>
      </w:pPr>
      <w:r>
        <w:rPr>
          <w:rStyle w:val="Refdenotaalpie"/>
        </w:rPr>
        <w:footnoteRef/>
      </w:r>
      <w:r>
        <w:t xml:space="preserve"> Consulta de fecha: 13 de noviembre de 2019, al segundo trimestre 2019. La variable verde significa “endeudamiento sostenible”.  </w:t>
      </w:r>
      <w:hyperlink r:id="rId2" w:history="1">
        <w:r>
          <w:rPr>
            <w:rStyle w:val="Hipervnculo"/>
          </w:rPr>
          <w:t>https://www.disciplinafinanciera.hacienda.gob.mx/es/DISCIPLINA_FINANCIERA//Municipios_2019</w:t>
        </w:r>
      </w:hyperlink>
    </w:p>
  </w:footnote>
  <w:footnote w:id="3">
    <w:p w14:paraId="4138F29F" w14:textId="77777777" w:rsidR="00081786" w:rsidRPr="001A31AA" w:rsidRDefault="00081786" w:rsidP="0008178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3" w:history="1">
        <w:r>
          <w:rPr>
            <w:rStyle w:val="Hipervnculo"/>
          </w:rPr>
          <w:t>https://www.fitchratings.com/site/pr/10091008</w:t>
        </w:r>
      </w:hyperlink>
    </w:p>
  </w:footnote>
  <w:footnote w:id="4">
    <w:p w14:paraId="40C08565" w14:textId="77777777" w:rsidR="00081786" w:rsidRPr="001A31AA" w:rsidRDefault="00081786" w:rsidP="00081786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4" w:history="1">
        <w:r>
          <w:rPr>
            <w:rStyle w:val="Hipervnculo"/>
          </w:rPr>
          <w:t>https://www.zapopan.gob.mx/cuenta-zapopan-con-la-mejor-calificacion-crediticia-y-financiera-en-mexico-fitch-ratings/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6BB66" w14:textId="4816C799" w:rsidR="00E76402" w:rsidRPr="00B26194" w:rsidRDefault="0006797D" w:rsidP="004F7BC1">
    <w:pPr>
      <w:pStyle w:val="Prrafodelista"/>
      <w:spacing w:after="160" w:line="259" w:lineRule="auto"/>
      <w:jc w:val="center"/>
      <w:rPr>
        <w:rFonts w:ascii="Titillium" w:hAnsi="Titillium" w:cs="Arial"/>
        <w:b/>
        <w:sz w:val="24"/>
      </w:rPr>
    </w:pPr>
    <w:r w:rsidRPr="00B26194">
      <w:rPr>
        <w:rFonts w:ascii="Titillium" w:hAnsi="Titillium"/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3606BB6B" wp14:editId="0523A6E4">
          <wp:simplePos x="0" y="0"/>
          <wp:positionH relativeFrom="column">
            <wp:posOffset>5659755</wp:posOffset>
          </wp:positionH>
          <wp:positionV relativeFrom="paragraph">
            <wp:posOffset>-372110</wp:posOffset>
          </wp:positionV>
          <wp:extent cx="6858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6A0" w:rsidRPr="00B26194">
      <w:rPr>
        <w:rFonts w:ascii="Titillium" w:hAnsi="Titillium"/>
        <w:b/>
        <w:noProof/>
        <w:lang w:eastAsia="es-MX"/>
      </w:rPr>
      <w:drawing>
        <wp:anchor distT="0" distB="0" distL="114300" distR="114300" simplePos="0" relativeHeight="251657216" behindDoc="0" locked="0" layoutInCell="1" allowOverlap="1" wp14:anchorId="3606BB69" wp14:editId="4EAD8493">
          <wp:simplePos x="0" y="0"/>
          <wp:positionH relativeFrom="column">
            <wp:posOffset>-807085</wp:posOffset>
          </wp:positionH>
          <wp:positionV relativeFrom="paragraph">
            <wp:posOffset>-372745</wp:posOffset>
          </wp:positionV>
          <wp:extent cx="685800" cy="6477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1FC5">
      <w:rPr>
        <w:rFonts w:ascii="Titillium" w:hAnsi="Titillium" w:cs="Arial"/>
        <w:b/>
        <w:sz w:val="24"/>
      </w:rPr>
      <w:t xml:space="preserve"> PRESUPUESTO </w:t>
    </w:r>
    <w:r w:rsidR="00B623CF">
      <w:rPr>
        <w:rFonts w:ascii="Titillium" w:hAnsi="Titillium" w:cs="Arial"/>
        <w:b/>
        <w:sz w:val="24"/>
      </w:rPr>
      <w:t xml:space="preserve">DE EGRESOS </w:t>
    </w:r>
    <w:r w:rsidR="00EB0FD2">
      <w:rPr>
        <w:rFonts w:ascii="Titillium" w:hAnsi="Titillium" w:cs="Arial"/>
        <w:b/>
        <w:sz w:val="24"/>
      </w:rPr>
      <w:t>20</w:t>
    </w:r>
    <w:r w:rsidR="001553F0">
      <w:rPr>
        <w:rFonts w:ascii="Titillium" w:hAnsi="Titillium" w:cs="Arial"/>
        <w:b/>
        <w:sz w:val="24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20A3B"/>
    <w:multiLevelType w:val="multilevel"/>
    <w:tmpl w:val="6016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34D0C"/>
    <w:multiLevelType w:val="hybridMultilevel"/>
    <w:tmpl w:val="09A66D5E"/>
    <w:lvl w:ilvl="0" w:tplc="43A45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725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54C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60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4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8B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AD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4A5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DA1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D66129"/>
    <w:multiLevelType w:val="hybridMultilevel"/>
    <w:tmpl w:val="5F28ED1E"/>
    <w:lvl w:ilvl="0" w:tplc="159A2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C3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2E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4C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2E3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0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2A0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09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9E3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3525A11"/>
    <w:multiLevelType w:val="hybridMultilevel"/>
    <w:tmpl w:val="23A2800A"/>
    <w:lvl w:ilvl="0" w:tplc="84E843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EE00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85C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E070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B549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5CF7F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64C76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75697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64A91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66261DE"/>
    <w:multiLevelType w:val="hybridMultilevel"/>
    <w:tmpl w:val="0F50EFD2"/>
    <w:lvl w:ilvl="0" w:tplc="EA684C7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A53B2"/>
    <w:multiLevelType w:val="hybridMultilevel"/>
    <w:tmpl w:val="F03A78EA"/>
    <w:lvl w:ilvl="0" w:tplc="32A650E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065F2"/>
    <w:multiLevelType w:val="hybridMultilevel"/>
    <w:tmpl w:val="89C02E08"/>
    <w:lvl w:ilvl="0" w:tplc="52C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DA55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C23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923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30D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A6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185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DAF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42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252161"/>
    <w:multiLevelType w:val="hybridMultilevel"/>
    <w:tmpl w:val="A2F07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203C"/>
    <w:multiLevelType w:val="hybridMultilevel"/>
    <w:tmpl w:val="8C7AB5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95B18"/>
    <w:multiLevelType w:val="hybridMultilevel"/>
    <w:tmpl w:val="C62AC33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5F78CB"/>
    <w:multiLevelType w:val="hybridMultilevel"/>
    <w:tmpl w:val="BDB66BF6"/>
    <w:lvl w:ilvl="0" w:tplc="5624F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94F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C7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D6B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BED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002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2D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5E5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A6D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5204B01"/>
    <w:multiLevelType w:val="hybridMultilevel"/>
    <w:tmpl w:val="1506CD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F9"/>
    <w:multiLevelType w:val="hybridMultilevel"/>
    <w:tmpl w:val="42562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3C9A"/>
    <w:multiLevelType w:val="hybridMultilevel"/>
    <w:tmpl w:val="0A6AE3A8"/>
    <w:lvl w:ilvl="0" w:tplc="E8465E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74B50"/>
    <w:multiLevelType w:val="hybridMultilevel"/>
    <w:tmpl w:val="26D659F6"/>
    <w:lvl w:ilvl="0" w:tplc="A50E9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A6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EC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CB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EF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82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E83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FCC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1A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329320D"/>
    <w:multiLevelType w:val="hybridMultilevel"/>
    <w:tmpl w:val="D4C04542"/>
    <w:lvl w:ilvl="0" w:tplc="4878B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5AA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889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3C7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7A14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702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207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C08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BB232E8"/>
    <w:multiLevelType w:val="multilevel"/>
    <w:tmpl w:val="6312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3609B"/>
    <w:multiLevelType w:val="hybridMultilevel"/>
    <w:tmpl w:val="DD78DD5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F9B7F04"/>
    <w:multiLevelType w:val="hybridMultilevel"/>
    <w:tmpl w:val="43E2A9A8"/>
    <w:lvl w:ilvl="0" w:tplc="29503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4AE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7AD8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C4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61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AE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7C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4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CB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C74318"/>
    <w:multiLevelType w:val="hybridMultilevel"/>
    <w:tmpl w:val="51FA63E6"/>
    <w:lvl w:ilvl="0" w:tplc="D66EF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E7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7AC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6A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4B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4A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2D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67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14C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5F0F16"/>
    <w:multiLevelType w:val="hybridMultilevel"/>
    <w:tmpl w:val="8C0628E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80E74"/>
    <w:multiLevelType w:val="hybridMultilevel"/>
    <w:tmpl w:val="04A6A4DA"/>
    <w:lvl w:ilvl="0" w:tplc="3B28C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17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23"/>
  </w:num>
  <w:num w:numId="11">
    <w:abstractNumId w:val="22"/>
  </w:num>
  <w:num w:numId="12">
    <w:abstractNumId w:val="12"/>
  </w:num>
  <w:num w:numId="13">
    <w:abstractNumId w:val="6"/>
  </w:num>
  <w:num w:numId="14">
    <w:abstractNumId w:val="18"/>
  </w:num>
  <w:num w:numId="15">
    <w:abstractNumId w:val="13"/>
  </w:num>
  <w:num w:numId="16">
    <w:abstractNumId w:val="20"/>
  </w:num>
  <w:num w:numId="17">
    <w:abstractNumId w:val="7"/>
  </w:num>
  <w:num w:numId="18">
    <w:abstractNumId w:val="3"/>
  </w:num>
  <w:num w:numId="19">
    <w:abstractNumId w:val="15"/>
  </w:num>
  <w:num w:numId="20">
    <w:abstractNumId w:val="11"/>
  </w:num>
  <w:num w:numId="21">
    <w:abstractNumId w:val="10"/>
  </w:num>
  <w:num w:numId="22">
    <w:abstractNumId w:val="2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F7"/>
    <w:rsid w:val="000078A8"/>
    <w:rsid w:val="0001542A"/>
    <w:rsid w:val="000160C6"/>
    <w:rsid w:val="000209FC"/>
    <w:rsid w:val="00024EEF"/>
    <w:rsid w:val="00036557"/>
    <w:rsid w:val="00044895"/>
    <w:rsid w:val="00046C95"/>
    <w:rsid w:val="000506A2"/>
    <w:rsid w:val="00051117"/>
    <w:rsid w:val="0005219D"/>
    <w:rsid w:val="00055510"/>
    <w:rsid w:val="000661C9"/>
    <w:rsid w:val="0006797D"/>
    <w:rsid w:val="00081786"/>
    <w:rsid w:val="00091D95"/>
    <w:rsid w:val="000A1F07"/>
    <w:rsid w:val="000A6404"/>
    <w:rsid w:val="000D3835"/>
    <w:rsid w:val="000F1392"/>
    <w:rsid w:val="000F26BC"/>
    <w:rsid w:val="000F6957"/>
    <w:rsid w:val="001001F6"/>
    <w:rsid w:val="00102C94"/>
    <w:rsid w:val="001050FE"/>
    <w:rsid w:val="00113B59"/>
    <w:rsid w:val="001223DB"/>
    <w:rsid w:val="00125F90"/>
    <w:rsid w:val="001433AC"/>
    <w:rsid w:val="00143834"/>
    <w:rsid w:val="00145D2F"/>
    <w:rsid w:val="001553F0"/>
    <w:rsid w:val="00157385"/>
    <w:rsid w:val="00165D1C"/>
    <w:rsid w:val="00165EF6"/>
    <w:rsid w:val="00176CE7"/>
    <w:rsid w:val="001A3BCF"/>
    <w:rsid w:val="001A7366"/>
    <w:rsid w:val="001B1659"/>
    <w:rsid w:val="001B35C2"/>
    <w:rsid w:val="001C00D0"/>
    <w:rsid w:val="001C058A"/>
    <w:rsid w:val="001C25A6"/>
    <w:rsid w:val="001D0CAE"/>
    <w:rsid w:val="001D79B7"/>
    <w:rsid w:val="001E60F1"/>
    <w:rsid w:val="001F24F0"/>
    <w:rsid w:val="00204B6A"/>
    <w:rsid w:val="00230E15"/>
    <w:rsid w:val="00230E5E"/>
    <w:rsid w:val="00231D0A"/>
    <w:rsid w:val="00241257"/>
    <w:rsid w:val="00252E2C"/>
    <w:rsid w:val="00256AB4"/>
    <w:rsid w:val="00270CCE"/>
    <w:rsid w:val="00275F38"/>
    <w:rsid w:val="0028082C"/>
    <w:rsid w:val="00293002"/>
    <w:rsid w:val="00294EA0"/>
    <w:rsid w:val="002A2CCB"/>
    <w:rsid w:val="002A72AA"/>
    <w:rsid w:val="002B4183"/>
    <w:rsid w:val="002C4308"/>
    <w:rsid w:val="002C57E1"/>
    <w:rsid w:val="002E0D10"/>
    <w:rsid w:val="002E5576"/>
    <w:rsid w:val="002E6C41"/>
    <w:rsid w:val="002E7C1B"/>
    <w:rsid w:val="002F0A4D"/>
    <w:rsid w:val="002F2495"/>
    <w:rsid w:val="002F5010"/>
    <w:rsid w:val="002F70F5"/>
    <w:rsid w:val="00303EF8"/>
    <w:rsid w:val="003178AB"/>
    <w:rsid w:val="003528DA"/>
    <w:rsid w:val="00357253"/>
    <w:rsid w:val="00364592"/>
    <w:rsid w:val="00366BBF"/>
    <w:rsid w:val="0037636A"/>
    <w:rsid w:val="003861BF"/>
    <w:rsid w:val="00391F53"/>
    <w:rsid w:val="00391F89"/>
    <w:rsid w:val="003978EF"/>
    <w:rsid w:val="003A2408"/>
    <w:rsid w:val="003A28A5"/>
    <w:rsid w:val="003A3815"/>
    <w:rsid w:val="003B12ED"/>
    <w:rsid w:val="003B26F6"/>
    <w:rsid w:val="003C5C45"/>
    <w:rsid w:val="003C73BD"/>
    <w:rsid w:val="003D0872"/>
    <w:rsid w:val="003D4CAF"/>
    <w:rsid w:val="003E44DE"/>
    <w:rsid w:val="003E5816"/>
    <w:rsid w:val="003E616C"/>
    <w:rsid w:val="003F1762"/>
    <w:rsid w:val="003F4B88"/>
    <w:rsid w:val="0040326A"/>
    <w:rsid w:val="004065AC"/>
    <w:rsid w:val="00422F11"/>
    <w:rsid w:val="00426A7F"/>
    <w:rsid w:val="00432ECA"/>
    <w:rsid w:val="004354DA"/>
    <w:rsid w:val="00463D0D"/>
    <w:rsid w:val="00464FE1"/>
    <w:rsid w:val="00467E35"/>
    <w:rsid w:val="004744E7"/>
    <w:rsid w:val="00474C25"/>
    <w:rsid w:val="00484AB9"/>
    <w:rsid w:val="00484FFF"/>
    <w:rsid w:val="00487256"/>
    <w:rsid w:val="004915C1"/>
    <w:rsid w:val="00494CF1"/>
    <w:rsid w:val="004A31AE"/>
    <w:rsid w:val="004B3AD6"/>
    <w:rsid w:val="004D1225"/>
    <w:rsid w:val="004E2C64"/>
    <w:rsid w:val="004E6380"/>
    <w:rsid w:val="004F03D3"/>
    <w:rsid w:val="004F4020"/>
    <w:rsid w:val="004F423F"/>
    <w:rsid w:val="004F6BA6"/>
    <w:rsid w:val="004F7BC1"/>
    <w:rsid w:val="00504E8E"/>
    <w:rsid w:val="005063D7"/>
    <w:rsid w:val="005408FA"/>
    <w:rsid w:val="0054729E"/>
    <w:rsid w:val="00547BD8"/>
    <w:rsid w:val="0055389D"/>
    <w:rsid w:val="00576A79"/>
    <w:rsid w:val="00585888"/>
    <w:rsid w:val="005934C0"/>
    <w:rsid w:val="00596101"/>
    <w:rsid w:val="005A04A9"/>
    <w:rsid w:val="005B53C3"/>
    <w:rsid w:val="005D0D80"/>
    <w:rsid w:val="005D1074"/>
    <w:rsid w:val="005E798A"/>
    <w:rsid w:val="00603398"/>
    <w:rsid w:val="00610FF7"/>
    <w:rsid w:val="0063281E"/>
    <w:rsid w:val="006409BC"/>
    <w:rsid w:val="006558CD"/>
    <w:rsid w:val="00657974"/>
    <w:rsid w:val="00661A62"/>
    <w:rsid w:val="006737B1"/>
    <w:rsid w:val="006815E4"/>
    <w:rsid w:val="006C62FD"/>
    <w:rsid w:val="006F2807"/>
    <w:rsid w:val="006F4B88"/>
    <w:rsid w:val="00705C10"/>
    <w:rsid w:val="00715E2C"/>
    <w:rsid w:val="00731B5F"/>
    <w:rsid w:val="007406D1"/>
    <w:rsid w:val="007631B7"/>
    <w:rsid w:val="00765BDE"/>
    <w:rsid w:val="00770C1E"/>
    <w:rsid w:val="00772CC7"/>
    <w:rsid w:val="00774386"/>
    <w:rsid w:val="00777D29"/>
    <w:rsid w:val="00780BEF"/>
    <w:rsid w:val="00784D03"/>
    <w:rsid w:val="0078630A"/>
    <w:rsid w:val="007B594B"/>
    <w:rsid w:val="007C28FE"/>
    <w:rsid w:val="007C399F"/>
    <w:rsid w:val="007C459F"/>
    <w:rsid w:val="007C6242"/>
    <w:rsid w:val="007D1A55"/>
    <w:rsid w:val="007D2A8D"/>
    <w:rsid w:val="007D5FD8"/>
    <w:rsid w:val="007E18CA"/>
    <w:rsid w:val="007E5665"/>
    <w:rsid w:val="007E6B97"/>
    <w:rsid w:val="007F1AA5"/>
    <w:rsid w:val="007F3933"/>
    <w:rsid w:val="00814C09"/>
    <w:rsid w:val="00823D75"/>
    <w:rsid w:val="00824C4B"/>
    <w:rsid w:val="00832B94"/>
    <w:rsid w:val="00837657"/>
    <w:rsid w:val="0084028F"/>
    <w:rsid w:val="00843DEE"/>
    <w:rsid w:val="00851ED2"/>
    <w:rsid w:val="0087518B"/>
    <w:rsid w:val="00886CDA"/>
    <w:rsid w:val="008923B7"/>
    <w:rsid w:val="00894004"/>
    <w:rsid w:val="00896C2E"/>
    <w:rsid w:val="008A5EE6"/>
    <w:rsid w:val="008B0B46"/>
    <w:rsid w:val="008C78A3"/>
    <w:rsid w:val="008D23D0"/>
    <w:rsid w:val="008F4CCC"/>
    <w:rsid w:val="009222BE"/>
    <w:rsid w:val="00935535"/>
    <w:rsid w:val="00940336"/>
    <w:rsid w:val="00947F29"/>
    <w:rsid w:val="009A2834"/>
    <w:rsid w:val="009A2F72"/>
    <w:rsid w:val="009C6C3C"/>
    <w:rsid w:val="00A0189C"/>
    <w:rsid w:val="00A05F90"/>
    <w:rsid w:val="00A2763E"/>
    <w:rsid w:val="00A27FDA"/>
    <w:rsid w:val="00A40D19"/>
    <w:rsid w:val="00A53B29"/>
    <w:rsid w:val="00A65997"/>
    <w:rsid w:val="00A67D2F"/>
    <w:rsid w:val="00A710BD"/>
    <w:rsid w:val="00A77291"/>
    <w:rsid w:val="00A814D3"/>
    <w:rsid w:val="00A931EE"/>
    <w:rsid w:val="00A968DD"/>
    <w:rsid w:val="00AB147D"/>
    <w:rsid w:val="00AB1864"/>
    <w:rsid w:val="00AC114F"/>
    <w:rsid w:val="00AC23A8"/>
    <w:rsid w:val="00AD1C42"/>
    <w:rsid w:val="00AD7E4C"/>
    <w:rsid w:val="00AE1F5F"/>
    <w:rsid w:val="00AE21A7"/>
    <w:rsid w:val="00AE29EC"/>
    <w:rsid w:val="00AE3AC0"/>
    <w:rsid w:val="00AE3D3B"/>
    <w:rsid w:val="00AE62F2"/>
    <w:rsid w:val="00AF067F"/>
    <w:rsid w:val="00AF09F0"/>
    <w:rsid w:val="00AF1E86"/>
    <w:rsid w:val="00AF63F9"/>
    <w:rsid w:val="00B04A4E"/>
    <w:rsid w:val="00B0780B"/>
    <w:rsid w:val="00B11A8F"/>
    <w:rsid w:val="00B150D7"/>
    <w:rsid w:val="00B26194"/>
    <w:rsid w:val="00B317F7"/>
    <w:rsid w:val="00B361B5"/>
    <w:rsid w:val="00B368AC"/>
    <w:rsid w:val="00B45961"/>
    <w:rsid w:val="00B55C44"/>
    <w:rsid w:val="00B623CF"/>
    <w:rsid w:val="00B63C3E"/>
    <w:rsid w:val="00B73CE9"/>
    <w:rsid w:val="00B819E4"/>
    <w:rsid w:val="00B83EB0"/>
    <w:rsid w:val="00B84C5F"/>
    <w:rsid w:val="00BA2224"/>
    <w:rsid w:val="00BA4F39"/>
    <w:rsid w:val="00BA522F"/>
    <w:rsid w:val="00BB0126"/>
    <w:rsid w:val="00BB061E"/>
    <w:rsid w:val="00BB1FC5"/>
    <w:rsid w:val="00BB60B0"/>
    <w:rsid w:val="00BB6854"/>
    <w:rsid w:val="00BC792C"/>
    <w:rsid w:val="00BF0ACA"/>
    <w:rsid w:val="00C20143"/>
    <w:rsid w:val="00C549F1"/>
    <w:rsid w:val="00C62C8E"/>
    <w:rsid w:val="00C744D5"/>
    <w:rsid w:val="00C838C4"/>
    <w:rsid w:val="00C84EBA"/>
    <w:rsid w:val="00C9016A"/>
    <w:rsid w:val="00C904B2"/>
    <w:rsid w:val="00C9766A"/>
    <w:rsid w:val="00CA051E"/>
    <w:rsid w:val="00CA1199"/>
    <w:rsid w:val="00CA17A0"/>
    <w:rsid w:val="00CB5AA2"/>
    <w:rsid w:val="00CB6C69"/>
    <w:rsid w:val="00CC2461"/>
    <w:rsid w:val="00CD5EA7"/>
    <w:rsid w:val="00CE748B"/>
    <w:rsid w:val="00CF3E36"/>
    <w:rsid w:val="00CF5487"/>
    <w:rsid w:val="00D01E40"/>
    <w:rsid w:val="00D02F2A"/>
    <w:rsid w:val="00D10BCE"/>
    <w:rsid w:val="00D10FBC"/>
    <w:rsid w:val="00D172F7"/>
    <w:rsid w:val="00D20A2A"/>
    <w:rsid w:val="00D218FB"/>
    <w:rsid w:val="00D607A7"/>
    <w:rsid w:val="00D7236D"/>
    <w:rsid w:val="00D7410A"/>
    <w:rsid w:val="00D90C7F"/>
    <w:rsid w:val="00D926A0"/>
    <w:rsid w:val="00D95ACD"/>
    <w:rsid w:val="00D96C5A"/>
    <w:rsid w:val="00DA0927"/>
    <w:rsid w:val="00DC2F7E"/>
    <w:rsid w:val="00DD39AD"/>
    <w:rsid w:val="00DF008D"/>
    <w:rsid w:val="00DF00FB"/>
    <w:rsid w:val="00DF2F10"/>
    <w:rsid w:val="00DF4C46"/>
    <w:rsid w:val="00E113CC"/>
    <w:rsid w:val="00E15EEA"/>
    <w:rsid w:val="00E21829"/>
    <w:rsid w:val="00E218B4"/>
    <w:rsid w:val="00E23705"/>
    <w:rsid w:val="00E507F0"/>
    <w:rsid w:val="00E56C18"/>
    <w:rsid w:val="00E621C9"/>
    <w:rsid w:val="00E63394"/>
    <w:rsid w:val="00E65753"/>
    <w:rsid w:val="00E70328"/>
    <w:rsid w:val="00E7047B"/>
    <w:rsid w:val="00E721E6"/>
    <w:rsid w:val="00E76402"/>
    <w:rsid w:val="00E856D5"/>
    <w:rsid w:val="00E90991"/>
    <w:rsid w:val="00E94962"/>
    <w:rsid w:val="00E979F3"/>
    <w:rsid w:val="00EA622A"/>
    <w:rsid w:val="00EA6F54"/>
    <w:rsid w:val="00EA74F2"/>
    <w:rsid w:val="00EB0FD2"/>
    <w:rsid w:val="00EB3336"/>
    <w:rsid w:val="00EB64E0"/>
    <w:rsid w:val="00EC288F"/>
    <w:rsid w:val="00EC41E8"/>
    <w:rsid w:val="00EC4B8E"/>
    <w:rsid w:val="00ED093E"/>
    <w:rsid w:val="00ED3E23"/>
    <w:rsid w:val="00EE7168"/>
    <w:rsid w:val="00EF2B9D"/>
    <w:rsid w:val="00F100F5"/>
    <w:rsid w:val="00F101C5"/>
    <w:rsid w:val="00F11110"/>
    <w:rsid w:val="00F21AAF"/>
    <w:rsid w:val="00F26C4B"/>
    <w:rsid w:val="00F30B80"/>
    <w:rsid w:val="00F327D8"/>
    <w:rsid w:val="00F56A88"/>
    <w:rsid w:val="00F67C9D"/>
    <w:rsid w:val="00F7086E"/>
    <w:rsid w:val="00F92F37"/>
    <w:rsid w:val="00FA5AB2"/>
    <w:rsid w:val="00FB521E"/>
    <w:rsid w:val="00FB5739"/>
    <w:rsid w:val="00FB6279"/>
    <w:rsid w:val="00FC5ED3"/>
    <w:rsid w:val="00FD2A7B"/>
    <w:rsid w:val="00FE3BB0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6BABC"/>
  <w15:chartTrackingRefBased/>
  <w15:docId w15:val="{1C7A54F6-FDC2-4BCE-98AE-4C6431DF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07A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D607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5E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66A"/>
  </w:style>
  <w:style w:type="paragraph" w:styleId="Piedepgina">
    <w:name w:val="footer"/>
    <w:basedOn w:val="Normal"/>
    <w:link w:val="PiedepginaCar"/>
    <w:uiPriority w:val="99"/>
    <w:unhideWhenUsed/>
    <w:rsid w:val="00C976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66A"/>
  </w:style>
  <w:style w:type="paragraph" w:styleId="Prrafodelista">
    <w:name w:val="List Paragraph"/>
    <w:basedOn w:val="Normal"/>
    <w:uiPriority w:val="34"/>
    <w:qFormat/>
    <w:rsid w:val="00303EF8"/>
    <w:pPr>
      <w:ind w:left="720"/>
      <w:contextualSpacing/>
    </w:pPr>
  </w:style>
  <w:style w:type="paragraph" w:styleId="Sinespaciado">
    <w:name w:val="No Spacing"/>
    <w:uiPriority w:val="1"/>
    <w:qFormat/>
    <w:rsid w:val="00294EA0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814D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14D3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814D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78A3"/>
    <w:rPr>
      <w:color w:val="0563C1" w:themeColor="hyperlink"/>
      <w:u w:val="single"/>
    </w:rPr>
  </w:style>
  <w:style w:type="paragraph" w:customStyle="1" w:styleId="1">
    <w:name w:val="1"/>
    <w:basedOn w:val="Normal"/>
    <w:link w:val="1Car"/>
    <w:rsid w:val="00AE21A7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AE21A7"/>
    <w:rPr>
      <w:rFonts w:ascii="Times" w:eastAsia="Times New Roman" w:hAnsi="Times"/>
      <w:sz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11A8F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59"/>
    <w:rsid w:val="00CA1199"/>
    <w:rPr>
      <w:rFonts w:asciiTheme="minorHAnsi" w:eastAsiaTheme="minorHAnsi" w:hAnsiTheme="minorHAnsi" w:cstheme="minorBid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13B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5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8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8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4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0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47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3554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0180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016">
          <w:marLeft w:val="1152"/>
          <w:marRight w:val="619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941">
          <w:marLeft w:val="274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itchratings.com/site/pr/10091008" TargetMode="External"/><Relationship Id="rId2" Type="http://schemas.openxmlformats.org/officeDocument/2006/relationships/hyperlink" Target="https://www.disciplinafinanciera.hacienda.gob.mx/es/DISCIPLINA_FINANCIERA/Municipios_2019" TargetMode="External"/><Relationship Id="rId1" Type="http://schemas.openxmlformats.org/officeDocument/2006/relationships/hyperlink" Target="https://www.finanzaspublicas.hacienda.gob.mx/es/Finanzas_Publicas/Paquete_Economico_y_Presupuesto" TargetMode="External"/><Relationship Id="rId4" Type="http://schemas.openxmlformats.org/officeDocument/2006/relationships/hyperlink" Target="https://www.zapopan.gob.mx/cuenta-zapopan-con-la-mejor-calificacion-crediticia-y-financiera-en-mexico-fitch-rating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EBAE9C-3B91-4359-A040-72C5071859DD}" type="doc">
      <dgm:prSet loTypeId="urn:microsoft.com/office/officeart/2008/layout/LinedList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MX"/>
        </a:p>
      </dgm:t>
    </dgm:pt>
    <dgm:pt modelId="{57503274-2EDB-4A07-BCBD-AAB1367211E5}">
      <dgm:prSet custT="1"/>
      <dgm:spPr/>
      <dgm:t>
        <a:bodyPr/>
        <a:lstStyle/>
        <a:p>
          <a:r>
            <a:rPr lang="es-MX" sz="1600" b="1" dirty="0">
              <a:solidFill>
                <a:schemeClr val="tx2"/>
              </a:solidFill>
            </a:rPr>
            <a:t>1. Programa de coberturas petroleras</a:t>
          </a:r>
        </a:p>
      </dgm:t>
    </dgm:pt>
    <dgm:pt modelId="{32724213-C815-433E-ADD3-D4B3B02A6F55}" type="parTrans" cxnId="{1FC35CBB-3926-4E07-A741-76DCD4AEA583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76790643-F99A-4F30-9460-EDDE90BCC5D7}" type="sibTrans" cxnId="{1FC35CBB-3926-4E07-A741-76DCD4AEA583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992DD041-2B9D-4D8D-8960-FD2C166197E0}">
      <dgm:prSet custT="1"/>
      <dgm:spPr/>
      <dgm:t>
        <a:bodyPr/>
        <a:lstStyle/>
        <a:p>
          <a:r>
            <a:rPr lang="es-MX" sz="1600" b="1" dirty="0">
              <a:solidFill>
                <a:schemeClr val="tx2"/>
              </a:solidFill>
            </a:rPr>
            <a:t>2. Incremento de los recursos en los fondos de estabilización</a:t>
          </a:r>
        </a:p>
      </dgm:t>
    </dgm:pt>
    <dgm:pt modelId="{A1B70760-45C8-4D0D-A787-A94AA04EA7C8}" type="parTrans" cxnId="{55784F7B-3435-4893-AE38-09898DE8F0DA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74DE4864-B11B-4745-AD12-943F29591F9B}" type="sibTrans" cxnId="{55784F7B-3435-4893-AE38-09898DE8F0DA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757D6510-D8A9-4E8D-A7F3-2FFA07A5107E}">
      <dgm:prSet custT="1"/>
      <dgm:spPr/>
      <dgm:t>
        <a:bodyPr/>
        <a:lstStyle/>
        <a:p>
          <a:r>
            <a:rPr lang="es-MX" sz="1600" b="1" dirty="0">
              <a:solidFill>
                <a:schemeClr val="tx2"/>
              </a:solidFill>
            </a:rPr>
            <a:t>3. Líneas de crédito flexible con FMI</a:t>
          </a:r>
        </a:p>
      </dgm:t>
    </dgm:pt>
    <dgm:pt modelId="{F9B217B2-B627-460C-A18B-6B8926E38A61}" type="parTrans" cxnId="{0CBEFD94-3A97-49E5-A716-6284235AB496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3FF7D132-F62E-4590-B362-F3D20A525BD8}" type="sibTrans" cxnId="{0CBEFD94-3A97-49E5-A716-6284235AB496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7CB7D02D-CB68-4324-9E23-05D5D96E847E}">
      <dgm:prSet custT="1"/>
      <dgm:spPr/>
      <dgm:t>
        <a:bodyPr/>
        <a:lstStyle/>
        <a:p>
          <a:r>
            <a:rPr lang="es-MX" sz="1600" b="1" dirty="0">
              <a:solidFill>
                <a:schemeClr val="tx2"/>
              </a:solidFill>
            </a:rPr>
            <a:t>4. Mejoramiento del perfil de deuda</a:t>
          </a:r>
        </a:p>
      </dgm:t>
    </dgm:pt>
    <dgm:pt modelId="{CFBD0236-F05B-40D5-99A0-B8B27EF7AB62}" type="parTrans" cxnId="{B77571F1-AFBC-4B5D-B0F2-2A517B068097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4D7E9A18-4ECA-424F-9EE0-C6DDA78AA4CE}" type="sibTrans" cxnId="{B77571F1-AFBC-4B5D-B0F2-2A517B068097}">
      <dgm:prSet/>
      <dgm:spPr/>
      <dgm:t>
        <a:bodyPr/>
        <a:lstStyle/>
        <a:p>
          <a:endParaRPr lang="es-MX" sz="1600" b="1">
            <a:solidFill>
              <a:schemeClr val="tx2"/>
            </a:solidFill>
          </a:endParaRPr>
        </a:p>
      </dgm:t>
    </dgm:pt>
    <dgm:pt modelId="{23A13808-499F-4364-89A7-7D0E5EB122B5}" type="pres">
      <dgm:prSet presAssocID="{34EBAE9C-3B91-4359-A040-72C5071859DD}" presName="vert0" presStyleCnt="0">
        <dgm:presLayoutVars>
          <dgm:dir/>
          <dgm:animOne val="branch"/>
          <dgm:animLvl val="lvl"/>
        </dgm:presLayoutVars>
      </dgm:prSet>
      <dgm:spPr/>
      <dgm:t>
        <a:bodyPr/>
        <a:lstStyle/>
        <a:p>
          <a:endParaRPr lang="es-MX"/>
        </a:p>
      </dgm:t>
    </dgm:pt>
    <dgm:pt modelId="{D5132537-97AB-44A9-BFE0-72E6EEEB4CA5}" type="pres">
      <dgm:prSet presAssocID="{57503274-2EDB-4A07-BCBD-AAB1367211E5}" presName="thickLine" presStyleLbl="alignNode1" presStyleIdx="0" presStyleCnt="4"/>
      <dgm:spPr/>
    </dgm:pt>
    <dgm:pt modelId="{12E2C308-14E7-4541-A6B4-884FE3DFF1BD}" type="pres">
      <dgm:prSet presAssocID="{57503274-2EDB-4A07-BCBD-AAB1367211E5}" presName="horz1" presStyleCnt="0"/>
      <dgm:spPr/>
    </dgm:pt>
    <dgm:pt modelId="{12F7CE72-40B4-4FB9-9A7C-4DE272B905A7}" type="pres">
      <dgm:prSet presAssocID="{57503274-2EDB-4A07-BCBD-AAB1367211E5}" presName="tx1" presStyleLbl="revTx" presStyleIdx="0" presStyleCnt="4"/>
      <dgm:spPr/>
      <dgm:t>
        <a:bodyPr/>
        <a:lstStyle/>
        <a:p>
          <a:endParaRPr lang="es-MX"/>
        </a:p>
      </dgm:t>
    </dgm:pt>
    <dgm:pt modelId="{253584F6-52CC-4D7D-B147-B2CB3AAECABA}" type="pres">
      <dgm:prSet presAssocID="{57503274-2EDB-4A07-BCBD-AAB1367211E5}" presName="vert1" presStyleCnt="0"/>
      <dgm:spPr/>
    </dgm:pt>
    <dgm:pt modelId="{E8B88DFE-8223-49E9-8B38-4BB9D5B30CAF}" type="pres">
      <dgm:prSet presAssocID="{992DD041-2B9D-4D8D-8960-FD2C166197E0}" presName="thickLine" presStyleLbl="alignNode1" presStyleIdx="1" presStyleCnt="4"/>
      <dgm:spPr/>
    </dgm:pt>
    <dgm:pt modelId="{AC2494AD-F300-4B18-8E03-DFDB5796D668}" type="pres">
      <dgm:prSet presAssocID="{992DD041-2B9D-4D8D-8960-FD2C166197E0}" presName="horz1" presStyleCnt="0"/>
      <dgm:spPr/>
    </dgm:pt>
    <dgm:pt modelId="{24B8BC0E-1BE9-4E82-8DB7-3EE38F3BEEFA}" type="pres">
      <dgm:prSet presAssocID="{992DD041-2B9D-4D8D-8960-FD2C166197E0}" presName="tx1" presStyleLbl="revTx" presStyleIdx="1" presStyleCnt="4"/>
      <dgm:spPr/>
      <dgm:t>
        <a:bodyPr/>
        <a:lstStyle/>
        <a:p>
          <a:endParaRPr lang="es-MX"/>
        </a:p>
      </dgm:t>
    </dgm:pt>
    <dgm:pt modelId="{635C5E8A-E840-4DA9-8A8E-48AA934785F9}" type="pres">
      <dgm:prSet presAssocID="{992DD041-2B9D-4D8D-8960-FD2C166197E0}" presName="vert1" presStyleCnt="0"/>
      <dgm:spPr/>
    </dgm:pt>
    <dgm:pt modelId="{93B1FE63-3D61-4FB7-8575-29A8548271AF}" type="pres">
      <dgm:prSet presAssocID="{757D6510-D8A9-4E8D-A7F3-2FFA07A5107E}" presName="thickLine" presStyleLbl="alignNode1" presStyleIdx="2" presStyleCnt="4"/>
      <dgm:spPr/>
    </dgm:pt>
    <dgm:pt modelId="{C6028540-EFEA-4737-95C5-DEC46D1CF46F}" type="pres">
      <dgm:prSet presAssocID="{757D6510-D8A9-4E8D-A7F3-2FFA07A5107E}" presName="horz1" presStyleCnt="0"/>
      <dgm:spPr/>
    </dgm:pt>
    <dgm:pt modelId="{78C40FB4-9CAF-46AA-A391-A6587C615CD2}" type="pres">
      <dgm:prSet presAssocID="{757D6510-D8A9-4E8D-A7F3-2FFA07A5107E}" presName="tx1" presStyleLbl="revTx" presStyleIdx="2" presStyleCnt="4"/>
      <dgm:spPr/>
      <dgm:t>
        <a:bodyPr/>
        <a:lstStyle/>
        <a:p>
          <a:endParaRPr lang="es-MX"/>
        </a:p>
      </dgm:t>
    </dgm:pt>
    <dgm:pt modelId="{34D6E19A-A7B1-4AA0-8F79-0EB0D3C8FB5E}" type="pres">
      <dgm:prSet presAssocID="{757D6510-D8A9-4E8D-A7F3-2FFA07A5107E}" presName="vert1" presStyleCnt="0"/>
      <dgm:spPr/>
    </dgm:pt>
    <dgm:pt modelId="{F3462891-5139-48E1-8506-951DF4B0E877}" type="pres">
      <dgm:prSet presAssocID="{7CB7D02D-CB68-4324-9E23-05D5D96E847E}" presName="thickLine" presStyleLbl="alignNode1" presStyleIdx="3" presStyleCnt="4"/>
      <dgm:spPr/>
    </dgm:pt>
    <dgm:pt modelId="{FBB563D8-EFDF-46CE-8F19-FEAB109A0E1A}" type="pres">
      <dgm:prSet presAssocID="{7CB7D02D-CB68-4324-9E23-05D5D96E847E}" presName="horz1" presStyleCnt="0"/>
      <dgm:spPr/>
    </dgm:pt>
    <dgm:pt modelId="{1B3CC60E-A771-42BF-AB42-48B2E080F412}" type="pres">
      <dgm:prSet presAssocID="{7CB7D02D-CB68-4324-9E23-05D5D96E847E}" presName="tx1" presStyleLbl="revTx" presStyleIdx="3" presStyleCnt="4"/>
      <dgm:spPr/>
      <dgm:t>
        <a:bodyPr/>
        <a:lstStyle/>
        <a:p>
          <a:endParaRPr lang="es-MX"/>
        </a:p>
      </dgm:t>
    </dgm:pt>
    <dgm:pt modelId="{230A6B6C-5902-405A-92AD-FE5ECBBA3A4C}" type="pres">
      <dgm:prSet presAssocID="{7CB7D02D-CB68-4324-9E23-05D5D96E847E}" presName="vert1" presStyleCnt="0"/>
      <dgm:spPr/>
    </dgm:pt>
  </dgm:ptLst>
  <dgm:cxnLst>
    <dgm:cxn modelId="{0CBEFD94-3A97-49E5-A716-6284235AB496}" srcId="{34EBAE9C-3B91-4359-A040-72C5071859DD}" destId="{757D6510-D8A9-4E8D-A7F3-2FFA07A5107E}" srcOrd="2" destOrd="0" parTransId="{F9B217B2-B627-460C-A18B-6B8926E38A61}" sibTransId="{3FF7D132-F62E-4590-B362-F3D20A525BD8}"/>
    <dgm:cxn modelId="{B77571F1-AFBC-4B5D-B0F2-2A517B068097}" srcId="{34EBAE9C-3B91-4359-A040-72C5071859DD}" destId="{7CB7D02D-CB68-4324-9E23-05D5D96E847E}" srcOrd="3" destOrd="0" parTransId="{CFBD0236-F05B-40D5-99A0-B8B27EF7AB62}" sibTransId="{4D7E9A18-4ECA-424F-9EE0-C6DDA78AA4CE}"/>
    <dgm:cxn modelId="{3C505A8B-E062-447D-92AC-D14FBC285CA8}" type="presOf" srcId="{7CB7D02D-CB68-4324-9E23-05D5D96E847E}" destId="{1B3CC60E-A771-42BF-AB42-48B2E080F412}" srcOrd="0" destOrd="0" presId="urn:microsoft.com/office/officeart/2008/layout/LinedList"/>
    <dgm:cxn modelId="{7F1A65B8-7FBD-4E96-9A3A-15AFDC1184BE}" type="presOf" srcId="{757D6510-D8A9-4E8D-A7F3-2FFA07A5107E}" destId="{78C40FB4-9CAF-46AA-A391-A6587C615CD2}" srcOrd="0" destOrd="0" presId="urn:microsoft.com/office/officeart/2008/layout/LinedList"/>
    <dgm:cxn modelId="{16D23236-2F7C-43C5-AED3-C8381888E56F}" type="presOf" srcId="{34EBAE9C-3B91-4359-A040-72C5071859DD}" destId="{23A13808-499F-4364-89A7-7D0E5EB122B5}" srcOrd="0" destOrd="0" presId="urn:microsoft.com/office/officeart/2008/layout/LinedList"/>
    <dgm:cxn modelId="{1FC35CBB-3926-4E07-A741-76DCD4AEA583}" srcId="{34EBAE9C-3B91-4359-A040-72C5071859DD}" destId="{57503274-2EDB-4A07-BCBD-AAB1367211E5}" srcOrd="0" destOrd="0" parTransId="{32724213-C815-433E-ADD3-D4B3B02A6F55}" sibTransId="{76790643-F99A-4F30-9460-EDDE90BCC5D7}"/>
    <dgm:cxn modelId="{E51853CB-D530-4FE0-A42E-1722419E5F05}" type="presOf" srcId="{992DD041-2B9D-4D8D-8960-FD2C166197E0}" destId="{24B8BC0E-1BE9-4E82-8DB7-3EE38F3BEEFA}" srcOrd="0" destOrd="0" presId="urn:microsoft.com/office/officeart/2008/layout/LinedList"/>
    <dgm:cxn modelId="{55784F7B-3435-4893-AE38-09898DE8F0DA}" srcId="{34EBAE9C-3B91-4359-A040-72C5071859DD}" destId="{992DD041-2B9D-4D8D-8960-FD2C166197E0}" srcOrd="1" destOrd="0" parTransId="{A1B70760-45C8-4D0D-A787-A94AA04EA7C8}" sibTransId="{74DE4864-B11B-4745-AD12-943F29591F9B}"/>
    <dgm:cxn modelId="{A7F37548-EDAB-469A-9946-679528003696}" type="presOf" srcId="{57503274-2EDB-4A07-BCBD-AAB1367211E5}" destId="{12F7CE72-40B4-4FB9-9A7C-4DE272B905A7}" srcOrd="0" destOrd="0" presId="urn:microsoft.com/office/officeart/2008/layout/LinedList"/>
    <dgm:cxn modelId="{7EFE2F4C-39E7-4785-A0C1-0462D5BEB169}" type="presParOf" srcId="{23A13808-499F-4364-89A7-7D0E5EB122B5}" destId="{D5132537-97AB-44A9-BFE0-72E6EEEB4CA5}" srcOrd="0" destOrd="0" presId="urn:microsoft.com/office/officeart/2008/layout/LinedList"/>
    <dgm:cxn modelId="{8B808202-F20B-4C8D-91FB-C3946A1A55CE}" type="presParOf" srcId="{23A13808-499F-4364-89A7-7D0E5EB122B5}" destId="{12E2C308-14E7-4541-A6B4-884FE3DFF1BD}" srcOrd="1" destOrd="0" presId="urn:microsoft.com/office/officeart/2008/layout/LinedList"/>
    <dgm:cxn modelId="{53A7208A-5247-4333-BC17-916D8CE2BB6D}" type="presParOf" srcId="{12E2C308-14E7-4541-A6B4-884FE3DFF1BD}" destId="{12F7CE72-40B4-4FB9-9A7C-4DE272B905A7}" srcOrd="0" destOrd="0" presId="urn:microsoft.com/office/officeart/2008/layout/LinedList"/>
    <dgm:cxn modelId="{5D608029-1901-4C62-8852-1616002481DA}" type="presParOf" srcId="{12E2C308-14E7-4541-A6B4-884FE3DFF1BD}" destId="{253584F6-52CC-4D7D-B147-B2CB3AAECABA}" srcOrd="1" destOrd="0" presId="urn:microsoft.com/office/officeart/2008/layout/LinedList"/>
    <dgm:cxn modelId="{D4926288-AAFA-4C87-AE40-926B0D596FF0}" type="presParOf" srcId="{23A13808-499F-4364-89A7-7D0E5EB122B5}" destId="{E8B88DFE-8223-49E9-8B38-4BB9D5B30CAF}" srcOrd="2" destOrd="0" presId="urn:microsoft.com/office/officeart/2008/layout/LinedList"/>
    <dgm:cxn modelId="{625A4EDE-228C-469E-9C1A-057957508DD1}" type="presParOf" srcId="{23A13808-499F-4364-89A7-7D0E5EB122B5}" destId="{AC2494AD-F300-4B18-8E03-DFDB5796D668}" srcOrd="3" destOrd="0" presId="urn:microsoft.com/office/officeart/2008/layout/LinedList"/>
    <dgm:cxn modelId="{7A012638-5FBB-4A62-AD70-A209A1930A01}" type="presParOf" srcId="{AC2494AD-F300-4B18-8E03-DFDB5796D668}" destId="{24B8BC0E-1BE9-4E82-8DB7-3EE38F3BEEFA}" srcOrd="0" destOrd="0" presId="urn:microsoft.com/office/officeart/2008/layout/LinedList"/>
    <dgm:cxn modelId="{B2BC6822-A6E8-4C80-8F3A-FFA686211924}" type="presParOf" srcId="{AC2494AD-F300-4B18-8E03-DFDB5796D668}" destId="{635C5E8A-E840-4DA9-8A8E-48AA934785F9}" srcOrd="1" destOrd="0" presId="urn:microsoft.com/office/officeart/2008/layout/LinedList"/>
    <dgm:cxn modelId="{43C1B993-982D-4A14-93A2-22C43FE29740}" type="presParOf" srcId="{23A13808-499F-4364-89A7-7D0E5EB122B5}" destId="{93B1FE63-3D61-4FB7-8575-29A8548271AF}" srcOrd="4" destOrd="0" presId="urn:microsoft.com/office/officeart/2008/layout/LinedList"/>
    <dgm:cxn modelId="{26DB9B35-EEB3-4893-8E7A-E4E98657F42B}" type="presParOf" srcId="{23A13808-499F-4364-89A7-7D0E5EB122B5}" destId="{C6028540-EFEA-4737-95C5-DEC46D1CF46F}" srcOrd="5" destOrd="0" presId="urn:microsoft.com/office/officeart/2008/layout/LinedList"/>
    <dgm:cxn modelId="{6496154C-81A6-40B6-A0C3-35DBA3408006}" type="presParOf" srcId="{C6028540-EFEA-4737-95C5-DEC46D1CF46F}" destId="{78C40FB4-9CAF-46AA-A391-A6587C615CD2}" srcOrd="0" destOrd="0" presId="urn:microsoft.com/office/officeart/2008/layout/LinedList"/>
    <dgm:cxn modelId="{BE0BC27C-4134-4404-AC76-D3E6BD9ACE8D}" type="presParOf" srcId="{C6028540-EFEA-4737-95C5-DEC46D1CF46F}" destId="{34D6E19A-A7B1-4AA0-8F79-0EB0D3C8FB5E}" srcOrd="1" destOrd="0" presId="urn:microsoft.com/office/officeart/2008/layout/LinedList"/>
    <dgm:cxn modelId="{B76BE1E6-FF92-470D-8844-EA272AFD857A}" type="presParOf" srcId="{23A13808-499F-4364-89A7-7D0E5EB122B5}" destId="{F3462891-5139-48E1-8506-951DF4B0E877}" srcOrd="6" destOrd="0" presId="urn:microsoft.com/office/officeart/2008/layout/LinedList"/>
    <dgm:cxn modelId="{42364701-D589-4FC8-BAAA-80F3574AF161}" type="presParOf" srcId="{23A13808-499F-4364-89A7-7D0E5EB122B5}" destId="{FBB563D8-EFDF-46CE-8F19-FEAB109A0E1A}" srcOrd="7" destOrd="0" presId="urn:microsoft.com/office/officeart/2008/layout/LinedList"/>
    <dgm:cxn modelId="{8986D1BB-6270-41B8-9BB5-7482136BB5A4}" type="presParOf" srcId="{FBB563D8-EFDF-46CE-8F19-FEAB109A0E1A}" destId="{1B3CC60E-A771-42BF-AB42-48B2E080F412}" srcOrd="0" destOrd="0" presId="urn:microsoft.com/office/officeart/2008/layout/LinedList"/>
    <dgm:cxn modelId="{7B20421F-AE1D-4D28-A279-27537E3A6279}" type="presParOf" srcId="{FBB563D8-EFDF-46CE-8F19-FEAB109A0E1A}" destId="{230A6B6C-5902-405A-92AD-FE5ECBBA3A4C}" srcOrd="1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132537-97AB-44A9-BFE0-72E6EEEB4CA5}">
      <dsp:nvSpPr>
        <dsp:cNvPr id="0" name=""/>
        <dsp:cNvSpPr/>
      </dsp:nvSpPr>
      <dsp:spPr>
        <a:xfrm>
          <a:off x="0" y="0"/>
          <a:ext cx="5519420" cy="0"/>
        </a:xfrm>
        <a:prstGeom prst="lin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2F7CE72-40B4-4FB9-9A7C-4DE272B905A7}">
      <dsp:nvSpPr>
        <dsp:cNvPr id="0" name=""/>
        <dsp:cNvSpPr/>
      </dsp:nvSpPr>
      <dsp:spPr>
        <a:xfrm>
          <a:off x="0" y="0"/>
          <a:ext cx="5519420" cy="3289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dirty="0">
              <a:solidFill>
                <a:schemeClr val="tx2"/>
              </a:solidFill>
            </a:rPr>
            <a:t>1. Programa de coberturas petroleras</a:t>
          </a:r>
        </a:p>
      </dsp:txBody>
      <dsp:txXfrm>
        <a:off x="0" y="0"/>
        <a:ext cx="5519420" cy="328921"/>
      </dsp:txXfrm>
    </dsp:sp>
    <dsp:sp modelId="{E8B88DFE-8223-49E9-8B38-4BB9D5B30CAF}">
      <dsp:nvSpPr>
        <dsp:cNvPr id="0" name=""/>
        <dsp:cNvSpPr/>
      </dsp:nvSpPr>
      <dsp:spPr>
        <a:xfrm>
          <a:off x="0" y="328921"/>
          <a:ext cx="5519420" cy="0"/>
        </a:xfrm>
        <a:prstGeom prst="line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 w="12700" cap="flat" cmpd="sng" algn="ctr">
          <a:solidFill>
            <a:schemeClr val="accent5">
              <a:hueOff val="-2451115"/>
              <a:satOff val="-3409"/>
              <a:lumOff val="-1307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4B8BC0E-1BE9-4E82-8DB7-3EE38F3BEEFA}">
      <dsp:nvSpPr>
        <dsp:cNvPr id="0" name=""/>
        <dsp:cNvSpPr/>
      </dsp:nvSpPr>
      <dsp:spPr>
        <a:xfrm>
          <a:off x="0" y="328921"/>
          <a:ext cx="5519420" cy="3289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dirty="0">
              <a:solidFill>
                <a:schemeClr val="tx2"/>
              </a:solidFill>
            </a:rPr>
            <a:t>2. Incremento de los recursos en los fondos de estabilización</a:t>
          </a:r>
        </a:p>
      </dsp:txBody>
      <dsp:txXfrm>
        <a:off x="0" y="328921"/>
        <a:ext cx="5519420" cy="328921"/>
      </dsp:txXfrm>
    </dsp:sp>
    <dsp:sp modelId="{93B1FE63-3D61-4FB7-8575-29A8548271AF}">
      <dsp:nvSpPr>
        <dsp:cNvPr id="0" name=""/>
        <dsp:cNvSpPr/>
      </dsp:nvSpPr>
      <dsp:spPr>
        <a:xfrm>
          <a:off x="0" y="657843"/>
          <a:ext cx="5519420" cy="0"/>
        </a:xfrm>
        <a:prstGeom prst="line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 w="12700" cap="flat" cmpd="sng" algn="ctr">
          <a:solidFill>
            <a:schemeClr val="accent5">
              <a:hueOff val="-4902230"/>
              <a:satOff val="-6819"/>
              <a:lumOff val="-261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C40FB4-9CAF-46AA-A391-A6587C615CD2}">
      <dsp:nvSpPr>
        <dsp:cNvPr id="0" name=""/>
        <dsp:cNvSpPr/>
      </dsp:nvSpPr>
      <dsp:spPr>
        <a:xfrm>
          <a:off x="0" y="657843"/>
          <a:ext cx="5519420" cy="3289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dirty="0">
              <a:solidFill>
                <a:schemeClr val="tx2"/>
              </a:solidFill>
            </a:rPr>
            <a:t>3. Líneas de crédito flexible con FMI</a:t>
          </a:r>
        </a:p>
      </dsp:txBody>
      <dsp:txXfrm>
        <a:off x="0" y="657843"/>
        <a:ext cx="5519420" cy="328921"/>
      </dsp:txXfrm>
    </dsp:sp>
    <dsp:sp modelId="{F3462891-5139-48E1-8506-951DF4B0E877}">
      <dsp:nvSpPr>
        <dsp:cNvPr id="0" name=""/>
        <dsp:cNvSpPr/>
      </dsp:nvSpPr>
      <dsp:spPr>
        <a:xfrm>
          <a:off x="0" y="986765"/>
          <a:ext cx="5519420" cy="0"/>
        </a:xfrm>
        <a:prstGeom prst="lin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accent5">
              <a:hueOff val="-7353344"/>
              <a:satOff val="-10228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3CC60E-A771-42BF-AB42-48B2E080F412}">
      <dsp:nvSpPr>
        <dsp:cNvPr id="0" name=""/>
        <dsp:cNvSpPr/>
      </dsp:nvSpPr>
      <dsp:spPr>
        <a:xfrm>
          <a:off x="0" y="986765"/>
          <a:ext cx="5519420" cy="32892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600" b="1" kern="1200" dirty="0">
              <a:solidFill>
                <a:schemeClr val="tx2"/>
              </a:solidFill>
            </a:rPr>
            <a:t>4. Mejoramiento del perfil de deuda</a:t>
          </a:r>
        </a:p>
      </dsp:txBody>
      <dsp:txXfrm>
        <a:off x="0" y="986765"/>
        <a:ext cx="5519420" cy="3289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F339-0F41-4A46-B8A9-39C83F7E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1183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Abrahameco</dc:creator>
  <cp:keywords/>
  <cp:lastModifiedBy>Iris del Rayo Maldonado Hipolito</cp:lastModifiedBy>
  <cp:revision>6</cp:revision>
  <cp:lastPrinted>2019-12-03T17:38:00Z</cp:lastPrinted>
  <dcterms:created xsi:type="dcterms:W3CDTF">2019-11-25T17:19:00Z</dcterms:created>
  <dcterms:modified xsi:type="dcterms:W3CDTF">2019-12-03T17:38:00Z</dcterms:modified>
</cp:coreProperties>
</file>