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8195C" w14:textId="77777777" w:rsidR="00B85373" w:rsidRDefault="0063527B" w:rsidP="0069794B">
      <w:pPr>
        <w:pStyle w:val="Ttulo1"/>
        <w:spacing w:before="74" w:line="276" w:lineRule="auto"/>
        <w:ind w:left="0" w:right="-721"/>
      </w:pPr>
      <w:r>
        <w:t>3 DE 3</w:t>
      </w:r>
    </w:p>
    <w:p w14:paraId="1401A861" w14:textId="77777777" w:rsidR="00B85373" w:rsidRDefault="00B85373" w:rsidP="0069794B">
      <w:pPr>
        <w:spacing w:before="6" w:line="276" w:lineRule="auto"/>
        <w:ind w:right="-721"/>
        <w:rPr>
          <w:b/>
        </w:rPr>
      </w:pPr>
    </w:p>
    <w:p w14:paraId="1EA54F6E" w14:textId="77777777" w:rsidR="00802A87" w:rsidRDefault="00802A87" w:rsidP="0069794B">
      <w:pPr>
        <w:spacing w:line="276" w:lineRule="auto"/>
        <w:ind w:right="-721"/>
        <w:jc w:val="center"/>
        <w:rPr>
          <w:b/>
          <w:sz w:val="24"/>
        </w:rPr>
      </w:pPr>
      <w:r>
        <w:rPr>
          <w:b/>
          <w:sz w:val="24"/>
        </w:rPr>
        <w:t>DECLARACIÓN DE SITUACIÓN PATRIMONIAL, DE INTE</w:t>
      </w:r>
      <w:r w:rsidR="005238F7">
        <w:rPr>
          <w:b/>
          <w:sz w:val="24"/>
        </w:rPr>
        <w:t>RE</w:t>
      </w:r>
      <w:r>
        <w:rPr>
          <w:b/>
          <w:sz w:val="24"/>
        </w:rPr>
        <w:t>SES Y CONSTANCIA DE PRESENTACIÓN FISCAL.</w:t>
      </w:r>
    </w:p>
    <w:p w14:paraId="46E4FFA9" w14:textId="77777777" w:rsidR="00B85373" w:rsidRDefault="00B85373" w:rsidP="0069794B">
      <w:pPr>
        <w:spacing w:line="276" w:lineRule="auto"/>
        <w:ind w:right="-721"/>
        <w:rPr>
          <w:b/>
          <w:sz w:val="26"/>
        </w:rPr>
      </w:pPr>
    </w:p>
    <w:p w14:paraId="5A30C1EC" w14:textId="77777777" w:rsidR="00B85373" w:rsidRDefault="00B85373" w:rsidP="0069794B">
      <w:pPr>
        <w:spacing w:line="276" w:lineRule="auto"/>
        <w:ind w:right="-721"/>
        <w:rPr>
          <w:b/>
          <w:sz w:val="26"/>
        </w:rPr>
      </w:pPr>
    </w:p>
    <w:p w14:paraId="1B8C582C" w14:textId="77777777" w:rsidR="00296739" w:rsidRDefault="00191663" w:rsidP="0069794B">
      <w:pPr>
        <w:spacing w:after="60" w:line="276" w:lineRule="auto"/>
        <w:ind w:right="-721" w:firstLine="288"/>
        <w:jc w:val="both"/>
        <w:rPr>
          <w:spacing w:val="-20"/>
        </w:rPr>
      </w:pPr>
      <w:r w:rsidRPr="00191663">
        <w:tab/>
      </w:r>
      <w:r w:rsidR="000216E3" w:rsidRPr="000216E3">
        <w:rPr>
          <w:b/>
        </w:rPr>
        <w:t xml:space="preserve">1.- </w:t>
      </w:r>
      <w:r w:rsidR="00EE3901">
        <w:rPr>
          <w:b/>
          <w:u w:val="thick"/>
        </w:rPr>
        <w:t>¿QUE ES?</w:t>
      </w:r>
      <w:r>
        <w:t>.-</w:t>
      </w:r>
      <w:r w:rsidR="00802A87">
        <w:rPr>
          <w:spacing w:val="-20"/>
        </w:rPr>
        <w:t xml:space="preserve"> </w:t>
      </w:r>
    </w:p>
    <w:p w14:paraId="721F56DD" w14:textId="77777777" w:rsidR="00296739" w:rsidRDefault="00296739" w:rsidP="0069794B">
      <w:pPr>
        <w:spacing w:after="60" w:line="276" w:lineRule="auto"/>
        <w:ind w:right="-721" w:firstLine="288"/>
        <w:jc w:val="both"/>
        <w:rPr>
          <w:spacing w:val="-20"/>
        </w:rPr>
      </w:pPr>
    </w:p>
    <w:p w14:paraId="3754560B" w14:textId="77777777" w:rsidR="00802A87" w:rsidRPr="00296739" w:rsidRDefault="00296739" w:rsidP="0069794B">
      <w:pPr>
        <w:spacing w:after="60" w:line="276" w:lineRule="auto"/>
        <w:ind w:right="-721" w:firstLine="288"/>
        <w:jc w:val="both"/>
        <w:rPr>
          <w:spacing w:val="-20"/>
        </w:rPr>
      </w:pPr>
      <w:r>
        <w:rPr>
          <w:spacing w:val="-20"/>
        </w:rPr>
        <w:tab/>
      </w:r>
      <w:r w:rsidR="00802A87">
        <w:rPr>
          <w:spacing w:val="-20"/>
        </w:rPr>
        <w:t>Es</w:t>
      </w:r>
      <w:r w:rsidR="00802A87">
        <w:rPr>
          <w:rFonts w:eastAsia="Times New Roman"/>
          <w:color w:val="2F2F2F"/>
          <w:szCs w:val="18"/>
          <w:lang w:eastAsia="es-MX"/>
        </w:rPr>
        <w:t xml:space="preserve"> un instrumento de rendición de cuentas</w:t>
      </w:r>
      <w:r w:rsidR="00802A87" w:rsidRPr="00802A87">
        <w:rPr>
          <w:rFonts w:eastAsia="Times New Roman"/>
          <w:color w:val="2F2F2F"/>
          <w:szCs w:val="18"/>
          <w:lang w:eastAsia="es-MX"/>
        </w:rPr>
        <w:t xml:space="preserve"> que permite conocer la evolución del p</w:t>
      </w:r>
      <w:r w:rsidR="00802A87">
        <w:rPr>
          <w:rFonts w:eastAsia="Times New Roman"/>
          <w:color w:val="2F2F2F"/>
          <w:szCs w:val="18"/>
          <w:lang w:eastAsia="es-MX"/>
        </w:rPr>
        <w:t xml:space="preserve">atrimonio y los intereses de las y los servidores públicos, para que, </w:t>
      </w:r>
      <w:r w:rsidR="00802A87" w:rsidRPr="00802A87">
        <w:rPr>
          <w:rFonts w:eastAsia="Times New Roman"/>
          <w:color w:val="2F2F2F"/>
          <w:szCs w:val="18"/>
          <w:lang w:eastAsia="es-MX"/>
        </w:rPr>
        <w:t>con base en éstas, detectar posibles</w:t>
      </w:r>
      <w:r w:rsidR="00191663">
        <w:rPr>
          <w:rFonts w:eastAsia="Times New Roman"/>
          <w:color w:val="2F2F2F"/>
          <w:szCs w:val="18"/>
          <w:lang w:eastAsia="es-MX"/>
        </w:rPr>
        <w:t xml:space="preserve"> irregularidades que afecten el debido e íntegro ejercicio del cargo, puesto o comisión, que desempeñen, constituyendo una herramienta que</w:t>
      </w:r>
      <w:r w:rsidR="00802A87" w:rsidRPr="00802A87">
        <w:rPr>
          <w:rFonts w:eastAsia="Times New Roman"/>
          <w:color w:val="2F2F2F"/>
          <w:szCs w:val="18"/>
          <w:lang w:eastAsia="es-MX"/>
        </w:rPr>
        <w:t>, junto con otras acciones preventivas de fiscalización,</w:t>
      </w:r>
      <w:r w:rsidR="00191663">
        <w:rPr>
          <w:rFonts w:eastAsia="Times New Roman"/>
          <w:color w:val="2F2F2F"/>
          <w:szCs w:val="18"/>
          <w:lang w:eastAsia="es-MX"/>
        </w:rPr>
        <w:t xml:space="preserve"> vigilancia y control,</w:t>
      </w:r>
      <w:r w:rsidR="00662F55">
        <w:rPr>
          <w:rFonts w:eastAsia="Times New Roman"/>
          <w:color w:val="2F2F2F"/>
          <w:szCs w:val="18"/>
          <w:lang w:eastAsia="es-MX"/>
        </w:rPr>
        <w:t xml:space="preserve"> buscan</w:t>
      </w:r>
      <w:r w:rsidR="00802A87" w:rsidRPr="00802A87">
        <w:rPr>
          <w:rFonts w:eastAsia="Times New Roman"/>
          <w:color w:val="2F2F2F"/>
          <w:szCs w:val="18"/>
          <w:lang w:eastAsia="es-MX"/>
        </w:rPr>
        <w:t xml:space="preserve"> inhibir prácticas corruptas y de enriquecimiento inexplicable o ilícito.</w:t>
      </w:r>
    </w:p>
    <w:p w14:paraId="3975C448" w14:textId="77777777" w:rsidR="00191663" w:rsidRDefault="00191663" w:rsidP="0069794B">
      <w:pPr>
        <w:spacing w:after="60" w:line="276" w:lineRule="auto"/>
        <w:ind w:right="-721" w:firstLine="288"/>
        <w:jc w:val="both"/>
        <w:rPr>
          <w:rFonts w:eastAsia="Times New Roman"/>
          <w:color w:val="2F2F2F"/>
          <w:szCs w:val="18"/>
          <w:lang w:eastAsia="es-MX"/>
        </w:rPr>
      </w:pPr>
    </w:p>
    <w:p w14:paraId="75F7C14A" w14:textId="77777777" w:rsidR="00296739" w:rsidRDefault="00191663"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r w:rsidR="000216E3">
        <w:rPr>
          <w:rFonts w:eastAsia="Times New Roman"/>
          <w:b/>
          <w:color w:val="2F2F2F"/>
          <w:szCs w:val="18"/>
          <w:lang w:eastAsia="es-MX"/>
        </w:rPr>
        <w:t xml:space="preserve">2.- </w:t>
      </w:r>
      <w:r w:rsidR="00296739">
        <w:rPr>
          <w:rFonts w:eastAsia="Times New Roman"/>
          <w:b/>
          <w:color w:val="2F2F2F"/>
          <w:szCs w:val="18"/>
          <w:u w:val="single"/>
          <w:lang w:eastAsia="es-MX"/>
        </w:rPr>
        <w:t>FUNDAMENTO.-</w:t>
      </w:r>
      <w:r w:rsidR="00EE3901">
        <w:rPr>
          <w:rFonts w:eastAsia="Times New Roman"/>
          <w:b/>
          <w:color w:val="2F2F2F"/>
          <w:szCs w:val="18"/>
          <w:u w:val="single"/>
          <w:lang w:eastAsia="es-MX"/>
        </w:rPr>
        <w:t xml:space="preserve"> </w:t>
      </w:r>
    </w:p>
    <w:p w14:paraId="3CBF2A7F" w14:textId="77777777" w:rsidR="00296739" w:rsidRDefault="00296739" w:rsidP="0069794B">
      <w:pPr>
        <w:spacing w:after="60" w:line="276" w:lineRule="auto"/>
        <w:ind w:right="-721"/>
        <w:jc w:val="both"/>
        <w:rPr>
          <w:rFonts w:eastAsia="Times New Roman"/>
          <w:color w:val="2F2F2F"/>
          <w:szCs w:val="18"/>
          <w:lang w:eastAsia="es-MX"/>
        </w:rPr>
      </w:pPr>
    </w:p>
    <w:p w14:paraId="0CCE124C" w14:textId="77777777" w:rsidR="000216E3" w:rsidRDefault="00296739"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r w:rsidR="00191663">
        <w:rPr>
          <w:rFonts w:eastAsia="Times New Roman"/>
          <w:color w:val="2F2F2F"/>
          <w:szCs w:val="18"/>
          <w:lang w:eastAsia="es-MX"/>
        </w:rPr>
        <w:t>La presentación de este instrumento ante su respectivo órgano interno de control, es de carácter obligatorio para aquellas personas que posean el carácter de servidores públicos, esto por así establecerlo los artículos 108 de la Constitución Política de los Estados Unidos Mexicanos, 92 de la Constitución Política del Estado de Jalisco</w:t>
      </w:r>
      <w:r w:rsidR="00A66FE9">
        <w:rPr>
          <w:rFonts w:eastAsia="Times New Roman"/>
          <w:color w:val="2F2F2F"/>
          <w:szCs w:val="18"/>
          <w:lang w:eastAsia="es-MX"/>
        </w:rPr>
        <w:t xml:space="preserve"> así como su</w:t>
      </w:r>
      <w:r w:rsidR="00191663">
        <w:rPr>
          <w:rFonts w:eastAsia="Times New Roman"/>
          <w:color w:val="2F2F2F"/>
          <w:szCs w:val="18"/>
          <w:lang w:eastAsia="es-MX"/>
        </w:rPr>
        <w:t xml:space="preserve"> homólogo 32 de la Ley General de Responsabilidades Administrativas.</w:t>
      </w:r>
    </w:p>
    <w:p w14:paraId="58A09E03" w14:textId="77777777" w:rsidR="00EE3901" w:rsidRDefault="00EE3901" w:rsidP="0069794B">
      <w:pPr>
        <w:spacing w:after="60" w:line="276" w:lineRule="auto"/>
        <w:ind w:right="-721"/>
        <w:jc w:val="both"/>
        <w:rPr>
          <w:rFonts w:eastAsia="Times New Roman"/>
          <w:color w:val="2F2F2F"/>
          <w:szCs w:val="18"/>
          <w:lang w:eastAsia="es-MX"/>
        </w:rPr>
      </w:pPr>
    </w:p>
    <w:p w14:paraId="24DABFF8" w14:textId="77777777" w:rsidR="00EE3901" w:rsidRDefault="00EE3901" w:rsidP="0069794B">
      <w:pPr>
        <w:spacing w:after="60" w:line="276" w:lineRule="auto"/>
        <w:ind w:right="-721"/>
        <w:jc w:val="both"/>
        <w:rPr>
          <w:rFonts w:eastAsia="Times New Roman"/>
          <w:b/>
          <w:color w:val="2F2F2F"/>
          <w:szCs w:val="18"/>
          <w:u w:val="single"/>
          <w:lang w:eastAsia="es-MX"/>
        </w:rPr>
      </w:pPr>
      <w:r>
        <w:rPr>
          <w:rFonts w:eastAsia="Times New Roman"/>
          <w:color w:val="2F2F2F"/>
          <w:szCs w:val="18"/>
          <w:lang w:eastAsia="es-MX"/>
        </w:rPr>
        <w:tab/>
      </w:r>
      <w:r w:rsidRPr="00EE3901">
        <w:rPr>
          <w:rFonts w:eastAsia="Times New Roman"/>
          <w:b/>
          <w:color w:val="2F2F2F"/>
          <w:szCs w:val="18"/>
          <w:lang w:eastAsia="es-MX"/>
        </w:rPr>
        <w:t>2.1.-</w:t>
      </w:r>
      <w:r>
        <w:rPr>
          <w:rFonts w:eastAsia="Times New Roman"/>
          <w:color w:val="2F2F2F"/>
          <w:szCs w:val="18"/>
          <w:lang w:eastAsia="es-MX"/>
        </w:rPr>
        <w:t xml:space="preserve"> </w:t>
      </w:r>
      <w:r w:rsidRPr="00EE3901">
        <w:rPr>
          <w:rFonts w:eastAsia="Times New Roman"/>
          <w:b/>
          <w:color w:val="2F2F2F"/>
          <w:szCs w:val="18"/>
          <w:u w:val="single"/>
          <w:lang w:eastAsia="es-MX"/>
        </w:rPr>
        <w:t>DEFINICIONES.-</w:t>
      </w:r>
    </w:p>
    <w:p w14:paraId="77034FA1" w14:textId="77777777" w:rsidR="00EE3901" w:rsidRDefault="00EE3901" w:rsidP="0069794B">
      <w:pPr>
        <w:spacing w:after="60" w:line="276" w:lineRule="auto"/>
        <w:ind w:right="-721"/>
        <w:jc w:val="both"/>
        <w:rPr>
          <w:rFonts w:eastAsia="Times New Roman"/>
          <w:b/>
          <w:color w:val="2F2F2F"/>
          <w:szCs w:val="18"/>
          <w:u w:val="single"/>
          <w:lang w:eastAsia="es-MX"/>
        </w:rPr>
      </w:pPr>
    </w:p>
    <w:p w14:paraId="5512B8B7" w14:textId="77777777" w:rsidR="00EE3901" w:rsidRDefault="00EE3901"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r w:rsidRPr="00EE3901">
        <w:rPr>
          <w:rFonts w:eastAsia="Times New Roman"/>
          <w:color w:val="2F2F2F"/>
          <w:szCs w:val="18"/>
          <w:u w:val="single"/>
          <w:lang w:eastAsia="es-MX"/>
        </w:rPr>
        <w:t>Declaración Patrimonial;</w:t>
      </w:r>
      <w:r w:rsidRPr="00EE3901">
        <w:rPr>
          <w:rFonts w:eastAsia="Times New Roman"/>
          <w:color w:val="2F2F2F"/>
          <w:szCs w:val="18"/>
          <w:lang w:eastAsia="es-MX"/>
        </w:rPr>
        <w:t xml:space="preserve"> </w:t>
      </w:r>
      <w:r>
        <w:rPr>
          <w:rFonts w:eastAsia="Times New Roman"/>
          <w:color w:val="2F2F2F"/>
          <w:szCs w:val="18"/>
          <w:lang w:eastAsia="es-MX"/>
        </w:rPr>
        <w:t xml:space="preserve">Apartado que </w:t>
      </w:r>
      <w:r w:rsidRPr="00EE3901">
        <w:rPr>
          <w:rFonts w:eastAsia="Times New Roman"/>
          <w:color w:val="2F2F2F"/>
          <w:szCs w:val="18"/>
          <w:lang w:eastAsia="es-MX"/>
        </w:rPr>
        <w:t>permite conocer el estado, evolución y valor estimado de los bienes que posee un servidor público desde el inicio hasta el fin de su encargo.</w:t>
      </w:r>
      <w:r>
        <w:rPr>
          <w:rFonts w:eastAsia="Times New Roman"/>
          <w:color w:val="2F2F2F"/>
          <w:szCs w:val="18"/>
          <w:lang w:eastAsia="es-MX"/>
        </w:rPr>
        <w:t xml:space="preserve"> </w:t>
      </w:r>
      <w:r>
        <w:t>La información que se pide en este documento incluye: ingresos, pasivos, ahorros, inversiones, bienes inmuebles, vehículos, bienes muebles y otro tipo de valores del declarante.</w:t>
      </w:r>
    </w:p>
    <w:p w14:paraId="4A452D9B" w14:textId="77777777" w:rsidR="00EE3901" w:rsidRDefault="00EE3901" w:rsidP="0069794B">
      <w:pPr>
        <w:spacing w:after="60" w:line="276" w:lineRule="auto"/>
        <w:ind w:right="-721"/>
        <w:jc w:val="both"/>
        <w:rPr>
          <w:rFonts w:eastAsia="Times New Roman"/>
          <w:color w:val="2F2F2F"/>
          <w:szCs w:val="18"/>
          <w:lang w:eastAsia="es-MX"/>
        </w:rPr>
      </w:pPr>
    </w:p>
    <w:p w14:paraId="5AF36714" w14:textId="77777777" w:rsidR="00EE3901" w:rsidRDefault="00EE3901"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r w:rsidRPr="00EE3901">
        <w:rPr>
          <w:rFonts w:eastAsia="Times New Roman"/>
          <w:color w:val="2F2F2F"/>
          <w:szCs w:val="18"/>
          <w:u w:val="single"/>
          <w:lang w:eastAsia="es-MX"/>
        </w:rPr>
        <w:t>Declaración de Intereses;</w:t>
      </w:r>
      <w:r>
        <w:rPr>
          <w:rFonts w:eastAsia="Times New Roman"/>
          <w:color w:val="2F2F2F"/>
          <w:szCs w:val="18"/>
          <w:lang w:eastAsia="es-MX"/>
        </w:rPr>
        <w:t xml:space="preserve"> Apartado que permite</w:t>
      </w:r>
      <w:r w:rsidRPr="00EE3901">
        <w:rPr>
          <w:rFonts w:eastAsia="Times New Roman"/>
          <w:color w:val="2F2F2F"/>
          <w:szCs w:val="18"/>
          <w:lang w:eastAsia="es-MX"/>
        </w:rPr>
        <w:t xml:space="preserve"> identificar aquellas actividades o relaciones que podrían interferir con el</w:t>
      </w:r>
      <w:r>
        <w:rPr>
          <w:rFonts w:eastAsia="Times New Roman"/>
          <w:color w:val="2F2F2F"/>
          <w:szCs w:val="18"/>
          <w:lang w:eastAsia="es-MX"/>
        </w:rPr>
        <w:t xml:space="preserve"> debido e imparcial</w:t>
      </w:r>
      <w:r w:rsidRPr="00EE3901">
        <w:rPr>
          <w:rFonts w:eastAsia="Times New Roman"/>
          <w:color w:val="2F2F2F"/>
          <w:szCs w:val="18"/>
          <w:lang w:eastAsia="es-MX"/>
        </w:rPr>
        <w:t xml:space="preserve"> ejercicio de las funciones o la toma de decisiones de un</w:t>
      </w:r>
      <w:r>
        <w:rPr>
          <w:rFonts w:eastAsia="Times New Roman"/>
          <w:color w:val="2F2F2F"/>
          <w:szCs w:val="18"/>
          <w:lang w:eastAsia="es-MX"/>
        </w:rPr>
        <w:t xml:space="preserve"> servidor público</w:t>
      </w:r>
      <w:r w:rsidRPr="00EE3901">
        <w:rPr>
          <w:rFonts w:eastAsia="Times New Roman"/>
          <w:color w:val="2F2F2F"/>
          <w:szCs w:val="18"/>
          <w:lang w:eastAsia="es-MX"/>
        </w:rPr>
        <w:t>. La información que se pide en este documento incluye: intereses económicos y financieros, actividades profesionales y empresariales y otros intereses tanto del declarante como de sus familiares en primer grado y dependientes económicos.</w:t>
      </w:r>
    </w:p>
    <w:p w14:paraId="46C646F4" w14:textId="77777777" w:rsidR="00EE3901" w:rsidRDefault="00EE3901" w:rsidP="0069794B">
      <w:pPr>
        <w:spacing w:after="60" w:line="276" w:lineRule="auto"/>
        <w:ind w:right="-721"/>
        <w:jc w:val="both"/>
        <w:rPr>
          <w:rFonts w:eastAsia="Times New Roman"/>
          <w:color w:val="2F2F2F"/>
          <w:szCs w:val="18"/>
          <w:lang w:eastAsia="es-MX"/>
        </w:rPr>
      </w:pPr>
    </w:p>
    <w:p w14:paraId="3F9CCC91" w14:textId="77777777" w:rsidR="00EE3901" w:rsidRPr="00EE3901" w:rsidRDefault="00EE3901"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r w:rsidRPr="00EE3901">
        <w:rPr>
          <w:rFonts w:eastAsia="Times New Roman"/>
          <w:color w:val="2F2F2F"/>
          <w:szCs w:val="18"/>
          <w:u w:val="single"/>
          <w:lang w:eastAsia="es-MX"/>
        </w:rPr>
        <w:t>Constancia de presentación fiscal;</w:t>
      </w:r>
      <w:r>
        <w:rPr>
          <w:rFonts w:eastAsia="Times New Roman"/>
          <w:color w:val="2F2F2F"/>
          <w:szCs w:val="18"/>
          <w:lang w:eastAsia="es-MX"/>
        </w:rPr>
        <w:t xml:space="preserve"> </w:t>
      </w:r>
      <w:r w:rsidRPr="00EE3901">
        <w:rPr>
          <w:rFonts w:eastAsia="Times New Roman"/>
          <w:color w:val="2F2F2F"/>
          <w:szCs w:val="18"/>
          <w:lang w:eastAsia="es-MX"/>
        </w:rPr>
        <w:t xml:space="preserve">La declaración fiscal es el comprobante de que un contribuyente ha cumplido con el pago de sus impuestos. </w:t>
      </w:r>
    </w:p>
    <w:p w14:paraId="7D60ACEA" w14:textId="77777777" w:rsidR="00191663" w:rsidRDefault="00191663" w:rsidP="0069794B">
      <w:pPr>
        <w:spacing w:after="60" w:line="276" w:lineRule="auto"/>
        <w:ind w:right="-721"/>
        <w:jc w:val="both"/>
        <w:rPr>
          <w:rFonts w:eastAsia="Times New Roman"/>
          <w:color w:val="2F2F2F"/>
          <w:szCs w:val="18"/>
          <w:lang w:eastAsia="es-MX"/>
        </w:rPr>
      </w:pPr>
    </w:p>
    <w:p w14:paraId="00D68FD6" w14:textId="77777777" w:rsidR="00296739" w:rsidRDefault="00191663"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r w:rsidR="000216E3" w:rsidRPr="000216E3">
        <w:rPr>
          <w:rFonts w:eastAsia="Times New Roman"/>
          <w:b/>
          <w:color w:val="2F2F2F"/>
          <w:szCs w:val="18"/>
          <w:lang w:eastAsia="es-MX"/>
        </w:rPr>
        <w:t>3.-</w:t>
      </w:r>
      <w:r w:rsidR="000216E3">
        <w:rPr>
          <w:rFonts w:eastAsia="Times New Roman"/>
          <w:color w:val="2F2F2F"/>
          <w:szCs w:val="18"/>
          <w:lang w:eastAsia="es-MX"/>
        </w:rPr>
        <w:t xml:space="preserve"> </w:t>
      </w:r>
      <w:r w:rsidRPr="00191663">
        <w:rPr>
          <w:rFonts w:eastAsia="Times New Roman"/>
          <w:b/>
          <w:color w:val="2F2F2F"/>
          <w:szCs w:val="18"/>
          <w:u w:val="single"/>
          <w:lang w:eastAsia="es-MX"/>
        </w:rPr>
        <w:t>DE LOS T</w:t>
      </w:r>
      <w:r>
        <w:rPr>
          <w:rFonts w:eastAsia="Times New Roman"/>
          <w:b/>
          <w:color w:val="2F2F2F"/>
          <w:szCs w:val="18"/>
          <w:u w:val="single"/>
          <w:lang w:eastAsia="es-MX"/>
        </w:rPr>
        <w:t>IPOS Y TÉRMINOS DE PRESENTACIÓN:</w:t>
      </w:r>
      <w:r>
        <w:rPr>
          <w:rFonts w:eastAsia="Times New Roman"/>
          <w:color w:val="2F2F2F"/>
          <w:szCs w:val="18"/>
          <w:lang w:eastAsia="es-MX"/>
        </w:rPr>
        <w:t xml:space="preserve"> </w:t>
      </w:r>
    </w:p>
    <w:p w14:paraId="4258BDEA" w14:textId="77777777" w:rsidR="00296739" w:rsidRDefault="00296739" w:rsidP="0069794B">
      <w:pPr>
        <w:spacing w:after="60" w:line="276" w:lineRule="auto"/>
        <w:ind w:right="-721"/>
        <w:jc w:val="both"/>
        <w:rPr>
          <w:rFonts w:eastAsia="Times New Roman"/>
          <w:color w:val="2F2F2F"/>
          <w:szCs w:val="18"/>
          <w:lang w:eastAsia="es-MX"/>
        </w:rPr>
      </w:pPr>
    </w:p>
    <w:p w14:paraId="617A8430" w14:textId="77777777" w:rsidR="00191663" w:rsidRDefault="00296739"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r w:rsidR="00191663">
        <w:rPr>
          <w:rFonts w:eastAsia="Times New Roman"/>
          <w:color w:val="2F2F2F"/>
          <w:szCs w:val="18"/>
          <w:lang w:eastAsia="es-MX"/>
        </w:rPr>
        <w:t>De conformidad a lo previsto en el artículo 33 de la Ley General de Responsabilidades Administrativas</w:t>
      </w:r>
      <w:r w:rsidR="004B093F">
        <w:rPr>
          <w:rFonts w:eastAsia="Times New Roman"/>
          <w:color w:val="2F2F2F"/>
          <w:szCs w:val="18"/>
          <w:lang w:eastAsia="es-MX"/>
        </w:rPr>
        <w:t>, los tipos y términos son los siguientes:</w:t>
      </w:r>
    </w:p>
    <w:p w14:paraId="342E0400" w14:textId="77777777" w:rsidR="004B093F" w:rsidRDefault="004B093F"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p>
    <w:p w14:paraId="645C3051" w14:textId="77777777" w:rsidR="004B093F" w:rsidRPr="004B093F" w:rsidRDefault="004B093F" w:rsidP="0069794B">
      <w:pPr>
        <w:spacing w:after="60" w:line="276" w:lineRule="auto"/>
        <w:ind w:left="28" w:right="-721"/>
        <w:jc w:val="both"/>
        <w:rPr>
          <w:rFonts w:eastAsia="Times New Roman"/>
          <w:i/>
          <w:color w:val="2F2F2F"/>
          <w:szCs w:val="18"/>
          <w:lang w:val="es-MX" w:eastAsia="es-MX"/>
        </w:rPr>
      </w:pPr>
      <w:r w:rsidRPr="004B093F">
        <w:rPr>
          <w:rFonts w:eastAsia="Times New Roman"/>
          <w:b/>
          <w:i/>
          <w:color w:val="2F2F2F"/>
          <w:szCs w:val="18"/>
          <w:lang w:eastAsia="es-MX"/>
        </w:rPr>
        <w:lastRenderedPageBreak/>
        <w:t>I.</w:t>
      </w:r>
      <w:r w:rsidRPr="004B093F">
        <w:rPr>
          <w:rFonts w:eastAsia="Times New Roman"/>
          <w:i/>
          <w:color w:val="2F2F2F"/>
          <w:szCs w:val="18"/>
          <w:lang w:val="es-MX" w:eastAsia="es-MX"/>
        </w:rPr>
        <w:t xml:space="preserve"> Declaración inicial, dentro de los sesenta días naturales siguientes a la toma de posesión con motivo del: </w:t>
      </w:r>
    </w:p>
    <w:p w14:paraId="3FB675BB" w14:textId="77777777" w:rsidR="004B093F" w:rsidRPr="004B093F" w:rsidRDefault="004B093F" w:rsidP="0069794B">
      <w:pPr>
        <w:spacing w:after="60" w:line="276" w:lineRule="auto"/>
        <w:ind w:left="595" w:right="-721"/>
        <w:jc w:val="both"/>
        <w:rPr>
          <w:rFonts w:eastAsia="Times New Roman"/>
          <w:i/>
          <w:color w:val="2F2F2F"/>
          <w:szCs w:val="18"/>
          <w:lang w:val="es-MX" w:eastAsia="es-MX"/>
        </w:rPr>
      </w:pPr>
      <w:r w:rsidRPr="004B093F">
        <w:rPr>
          <w:rFonts w:eastAsia="Times New Roman"/>
          <w:b/>
          <w:bCs/>
          <w:i/>
          <w:color w:val="2F2F2F"/>
          <w:szCs w:val="18"/>
          <w:lang w:val="es-MX" w:eastAsia="es-MX"/>
        </w:rPr>
        <w:t xml:space="preserve">a) </w:t>
      </w:r>
      <w:r w:rsidRPr="004B093F">
        <w:rPr>
          <w:rFonts w:eastAsia="Times New Roman"/>
          <w:i/>
          <w:color w:val="2F2F2F"/>
          <w:szCs w:val="18"/>
          <w:lang w:val="es-MX" w:eastAsia="es-MX"/>
        </w:rPr>
        <w:t xml:space="preserve">Ingreso al servicio público por primera vez; </w:t>
      </w:r>
    </w:p>
    <w:p w14:paraId="55CF6CC3" w14:textId="77777777" w:rsidR="004B093F" w:rsidRDefault="004B093F" w:rsidP="0069794B">
      <w:pPr>
        <w:spacing w:after="60" w:line="276" w:lineRule="auto"/>
        <w:ind w:left="595" w:right="-721"/>
        <w:jc w:val="both"/>
        <w:rPr>
          <w:rFonts w:eastAsia="Times New Roman"/>
          <w:i/>
          <w:color w:val="2F2F2F"/>
          <w:szCs w:val="18"/>
          <w:lang w:val="es-MX" w:eastAsia="es-MX"/>
        </w:rPr>
      </w:pPr>
      <w:r w:rsidRPr="004B093F">
        <w:rPr>
          <w:rFonts w:eastAsia="Times New Roman"/>
          <w:b/>
          <w:bCs/>
          <w:i/>
          <w:color w:val="2F2F2F"/>
          <w:szCs w:val="18"/>
          <w:lang w:val="es-MX" w:eastAsia="es-MX"/>
        </w:rPr>
        <w:t xml:space="preserve">b) </w:t>
      </w:r>
      <w:r w:rsidRPr="004B093F">
        <w:rPr>
          <w:rFonts w:eastAsia="Times New Roman"/>
          <w:i/>
          <w:color w:val="2F2F2F"/>
          <w:szCs w:val="18"/>
          <w:lang w:val="es-MX" w:eastAsia="es-MX"/>
        </w:rPr>
        <w:t xml:space="preserve">Reingreso al servicio público después de sesenta días naturales de la conclusión de su último encargo; </w:t>
      </w:r>
    </w:p>
    <w:p w14:paraId="118C48EA" w14:textId="77777777" w:rsidR="004B093F" w:rsidRPr="004B093F" w:rsidRDefault="004B093F" w:rsidP="0069794B">
      <w:pPr>
        <w:spacing w:after="60" w:line="276" w:lineRule="auto"/>
        <w:ind w:left="595" w:right="-721"/>
        <w:jc w:val="both"/>
        <w:rPr>
          <w:rFonts w:eastAsia="Times New Roman"/>
          <w:i/>
          <w:color w:val="2F2F2F"/>
          <w:szCs w:val="18"/>
          <w:lang w:val="es-MX" w:eastAsia="es-MX"/>
        </w:rPr>
      </w:pPr>
    </w:p>
    <w:p w14:paraId="4DD5E4D7" w14:textId="77777777" w:rsidR="004B093F" w:rsidRDefault="004B093F" w:rsidP="0069794B">
      <w:pPr>
        <w:spacing w:after="60" w:line="276" w:lineRule="auto"/>
        <w:ind w:left="28" w:right="-721"/>
        <w:jc w:val="both"/>
        <w:rPr>
          <w:rFonts w:eastAsia="Times New Roman"/>
          <w:i/>
          <w:color w:val="2F2F2F"/>
          <w:szCs w:val="18"/>
          <w:lang w:val="es-MX" w:eastAsia="es-MX"/>
        </w:rPr>
      </w:pPr>
      <w:r w:rsidRPr="004B093F">
        <w:rPr>
          <w:rFonts w:eastAsia="Times New Roman"/>
          <w:b/>
          <w:bCs/>
          <w:i/>
          <w:color w:val="2F2F2F"/>
          <w:szCs w:val="18"/>
          <w:lang w:val="es-MX" w:eastAsia="es-MX"/>
        </w:rPr>
        <w:t xml:space="preserve">II. </w:t>
      </w:r>
      <w:r w:rsidRPr="004B093F">
        <w:rPr>
          <w:rFonts w:eastAsia="Times New Roman"/>
          <w:i/>
          <w:color w:val="2F2F2F"/>
          <w:szCs w:val="18"/>
          <w:lang w:val="es-MX" w:eastAsia="es-MX"/>
        </w:rPr>
        <w:t>Declaración de modificación patrimonial, durant</w:t>
      </w:r>
      <w:r>
        <w:rPr>
          <w:rFonts w:eastAsia="Times New Roman"/>
          <w:i/>
          <w:color w:val="2F2F2F"/>
          <w:szCs w:val="18"/>
          <w:lang w:val="es-MX" w:eastAsia="es-MX"/>
        </w:rPr>
        <w:t>e el mes de mayo de cada año, y;</w:t>
      </w:r>
    </w:p>
    <w:p w14:paraId="21B8EFEA" w14:textId="77777777" w:rsidR="004B093F" w:rsidRPr="004B093F" w:rsidRDefault="004B093F" w:rsidP="0069794B">
      <w:pPr>
        <w:spacing w:after="60" w:line="276" w:lineRule="auto"/>
        <w:ind w:left="28" w:right="-721"/>
        <w:jc w:val="both"/>
        <w:rPr>
          <w:rFonts w:eastAsia="Times New Roman"/>
          <w:i/>
          <w:color w:val="2F2F2F"/>
          <w:szCs w:val="18"/>
          <w:lang w:val="es-MX" w:eastAsia="es-MX"/>
        </w:rPr>
      </w:pPr>
    </w:p>
    <w:p w14:paraId="4ED89563" w14:textId="77777777" w:rsidR="004B093F" w:rsidRPr="004B093F" w:rsidRDefault="004B093F" w:rsidP="0069794B">
      <w:pPr>
        <w:spacing w:after="60" w:line="276" w:lineRule="auto"/>
        <w:ind w:left="28" w:right="-721"/>
        <w:jc w:val="both"/>
        <w:rPr>
          <w:rFonts w:eastAsia="Times New Roman"/>
          <w:i/>
          <w:color w:val="2F2F2F"/>
          <w:szCs w:val="18"/>
          <w:lang w:eastAsia="es-MX"/>
        </w:rPr>
      </w:pPr>
      <w:r w:rsidRPr="004B093F">
        <w:rPr>
          <w:rFonts w:eastAsia="Times New Roman"/>
          <w:b/>
          <w:bCs/>
          <w:i/>
          <w:color w:val="2F2F2F"/>
          <w:szCs w:val="18"/>
          <w:lang w:val="es-MX" w:eastAsia="es-MX"/>
        </w:rPr>
        <w:t xml:space="preserve">III. </w:t>
      </w:r>
      <w:r w:rsidRPr="004B093F">
        <w:rPr>
          <w:rFonts w:eastAsia="Times New Roman"/>
          <w:i/>
          <w:color w:val="2F2F2F"/>
          <w:szCs w:val="18"/>
          <w:lang w:val="es-MX" w:eastAsia="es-MX"/>
        </w:rPr>
        <w:t>Declaración de conclusión del encargo, dentro de los sesenta días naturales siguientes a la conclusión.</w:t>
      </w:r>
    </w:p>
    <w:p w14:paraId="65E7C556" w14:textId="77777777" w:rsidR="00191663" w:rsidRDefault="00191663" w:rsidP="0069794B">
      <w:pPr>
        <w:spacing w:after="60" w:line="276" w:lineRule="auto"/>
        <w:ind w:right="-721"/>
        <w:jc w:val="both"/>
        <w:rPr>
          <w:rFonts w:eastAsia="Times New Roman"/>
          <w:color w:val="2F2F2F"/>
          <w:szCs w:val="18"/>
          <w:lang w:eastAsia="es-MX"/>
        </w:rPr>
      </w:pPr>
    </w:p>
    <w:p w14:paraId="078A744C" w14:textId="77777777" w:rsidR="00296739" w:rsidRPr="00296739" w:rsidRDefault="00191663" w:rsidP="0069794B">
      <w:pPr>
        <w:spacing w:line="276" w:lineRule="auto"/>
        <w:ind w:right="-721"/>
        <w:jc w:val="both"/>
        <w:rPr>
          <w:rFonts w:eastAsia="Times New Roman"/>
          <w:b/>
          <w:color w:val="2F2F2F"/>
          <w:szCs w:val="18"/>
          <w:u w:val="single"/>
          <w:lang w:eastAsia="es-MX"/>
        </w:rPr>
      </w:pPr>
      <w:r>
        <w:rPr>
          <w:rFonts w:eastAsia="Times New Roman"/>
          <w:color w:val="2F2F2F"/>
          <w:szCs w:val="18"/>
          <w:lang w:eastAsia="es-MX"/>
        </w:rPr>
        <w:tab/>
      </w:r>
      <w:r w:rsidR="000216E3" w:rsidRPr="00296739">
        <w:rPr>
          <w:rFonts w:eastAsia="Times New Roman"/>
          <w:b/>
          <w:color w:val="2F2F2F"/>
          <w:szCs w:val="18"/>
          <w:u w:val="single"/>
          <w:lang w:eastAsia="es-MX"/>
        </w:rPr>
        <w:t>4.-</w:t>
      </w:r>
      <w:r w:rsidR="000216E3" w:rsidRPr="00296739">
        <w:rPr>
          <w:rFonts w:eastAsia="Times New Roman"/>
          <w:color w:val="2F2F2F"/>
          <w:szCs w:val="18"/>
          <w:u w:val="single"/>
          <w:lang w:eastAsia="es-MX"/>
        </w:rPr>
        <w:t xml:space="preserve"> </w:t>
      </w:r>
      <w:r w:rsidR="005238F7" w:rsidRPr="00296739">
        <w:rPr>
          <w:rFonts w:eastAsia="Times New Roman"/>
          <w:b/>
          <w:color w:val="2F2F2F"/>
          <w:szCs w:val="18"/>
          <w:u w:val="single"/>
          <w:lang w:eastAsia="es-MX"/>
        </w:rPr>
        <w:t xml:space="preserve">DE LOS SERVIDORES PÚBLICOS QUE NUNCA HAN PRESENTADO DECLARACIÓN </w:t>
      </w:r>
      <w:r w:rsidR="00616A88" w:rsidRPr="00296739">
        <w:rPr>
          <w:rFonts w:eastAsia="Times New Roman"/>
          <w:b/>
          <w:color w:val="2F2F2F"/>
          <w:szCs w:val="18"/>
          <w:u w:val="single"/>
          <w:lang w:eastAsia="es-MX"/>
        </w:rPr>
        <w:t xml:space="preserve">DE SITUACIÓN PATRIMONIAL, DE INTERESES Y CONSTANCIA DE PRESENTACIÓN FISCAL, Y COMO </w:t>
      </w:r>
      <w:r w:rsidR="005238F7" w:rsidRPr="00296739">
        <w:rPr>
          <w:rFonts w:eastAsia="Times New Roman"/>
          <w:b/>
          <w:color w:val="2F2F2F"/>
          <w:szCs w:val="18"/>
          <w:u w:val="single"/>
          <w:lang w:eastAsia="es-MX"/>
        </w:rPr>
        <w:t xml:space="preserve">DEBERAN INCORPORARSE AL REGIMEN DE PRESENTACIÓN. </w:t>
      </w:r>
    </w:p>
    <w:p w14:paraId="659C4B58" w14:textId="77777777" w:rsidR="00296739" w:rsidRDefault="00296739" w:rsidP="0069794B">
      <w:pPr>
        <w:spacing w:line="276" w:lineRule="auto"/>
        <w:ind w:right="-721"/>
        <w:jc w:val="both"/>
        <w:rPr>
          <w:rFonts w:eastAsia="Times New Roman"/>
          <w:b/>
          <w:color w:val="2F2F2F"/>
          <w:szCs w:val="18"/>
          <w:lang w:eastAsia="es-MX"/>
        </w:rPr>
      </w:pPr>
    </w:p>
    <w:p w14:paraId="3803509A" w14:textId="77777777" w:rsidR="00A66FE9" w:rsidRPr="00A66FE9" w:rsidRDefault="00296739" w:rsidP="0069794B">
      <w:pPr>
        <w:spacing w:line="276" w:lineRule="auto"/>
        <w:ind w:right="-721"/>
        <w:jc w:val="both"/>
        <w:rPr>
          <w:szCs w:val="20"/>
        </w:rPr>
      </w:pPr>
      <w:r>
        <w:rPr>
          <w:szCs w:val="20"/>
        </w:rPr>
        <w:tab/>
      </w:r>
      <w:r w:rsidR="00A66FE9" w:rsidRPr="00A66FE9">
        <w:rPr>
          <w:szCs w:val="20"/>
        </w:rPr>
        <w:t>Los servidores públicos cuya obligación de presentar su declaración de situación patrimonial se originó con la entrada en vigor de la Ley General de Res</w:t>
      </w:r>
      <w:r w:rsidR="00A66FE9">
        <w:rPr>
          <w:szCs w:val="20"/>
        </w:rPr>
        <w:t>ponsabilidades Administrativas (19 de julio de 2017)</w:t>
      </w:r>
      <w:r w:rsidR="00A66FE9" w:rsidRPr="00A66FE9">
        <w:rPr>
          <w:szCs w:val="20"/>
        </w:rPr>
        <w:t xml:space="preserve"> se sujetarán a lo dispuesto por el Artículo Tercero del </w:t>
      </w:r>
      <w:r w:rsidR="00A66FE9" w:rsidRPr="00A66FE9">
        <w:rPr>
          <w:i/>
          <w:iCs/>
          <w:szCs w:val="20"/>
        </w:rPr>
        <w:t>Acuerdo por el que el Comité Coordinador del Sistema Nacional Anticorrupción dio a conocer la obligación de presentar las declaraciones de situación patrimonial y de intereses conforme a los artículos 32 y 33 de la Ley General de Responsabilidades Administrativas</w:t>
      </w:r>
      <w:r w:rsidR="00A66FE9" w:rsidRPr="00A66FE9">
        <w:rPr>
          <w:szCs w:val="20"/>
        </w:rPr>
        <w:t>, publicado el 14 de julio de 2017 en el Diario Oficial de la Federación, que se transcribe a continuación:</w:t>
      </w:r>
    </w:p>
    <w:p w14:paraId="7237F16B" w14:textId="77777777" w:rsidR="00A66FE9" w:rsidRPr="00192C83" w:rsidRDefault="00A66FE9" w:rsidP="0069794B">
      <w:pPr>
        <w:ind w:right="-721"/>
        <w:jc w:val="both"/>
        <w:rPr>
          <w:sz w:val="20"/>
          <w:szCs w:val="20"/>
        </w:rPr>
      </w:pPr>
    </w:p>
    <w:p w14:paraId="67358F07" w14:textId="77777777" w:rsidR="00A66FE9" w:rsidRPr="00192C83" w:rsidRDefault="00A66FE9" w:rsidP="0069794B">
      <w:pPr>
        <w:ind w:left="28" w:right="-721"/>
        <w:jc w:val="both"/>
        <w:rPr>
          <w:i/>
          <w:iCs/>
          <w:sz w:val="20"/>
          <w:szCs w:val="20"/>
        </w:rPr>
      </w:pPr>
      <w:r w:rsidRPr="00192C83">
        <w:rPr>
          <w:i/>
          <w:iCs/>
          <w:sz w:val="20"/>
          <w:szCs w:val="20"/>
        </w:rPr>
        <w:t>"TERCERO.- La obligación de los servidores públicos para presentar sus respectivas declaraciones de situación patrimonial y de intereses que no se encontraba como obligatoria hasta antes del 19 de julio de 2017, fecha en la que entra en vigor la Ley General de Responsabilidades Administrativas, será exigible a partir del momento en que el Comité Coordinador del Sistema Nacional Anticorrupción, dé a conocer de manera oficial los formatos que se aplicarán para la presentación de dichas declaraciones y éstos se encuentren operables."</w:t>
      </w:r>
    </w:p>
    <w:p w14:paraId="0CBCF4CF" w14:textId="77777777" w:rsidR="00A66FE9" w:rsidRDefault="00A66FE9" w:rsidP="0069794B">
      <w:pPr>
        <w:spacing w:after="60" w:line="276" w:lineRule="auto"/>
        <w:ind w:right="-721"/>
        <w:jc w:val="both"/>
        <w:rPr>
          <w:rFonts w:eastAsia="Times New Roman"/>
          <w:b/>
          <w:color w:val="2F2F2F"/>
          <w:szCs w:val="18"/>
          <w:lang w:eastAsia="es-MX"/>
        </w:rPr>
      </w:pPr>
    </w:p>
    <w:p w14:paraId="480866F1" w14:textId="77777777" w:rsidR="00191663" w:rsidRDefault="000216E3" w:rsidP="0069794B">
      <w:pPr>
        <w:spacing w:after="60" w:line="276" w:lineRule="auto"/>
        <w:ind w:right="-721"/>
        <w:jc w:val="both"/>
        <w:rPr>
          <w:rFonts w:eastAsia="Times New Roman"/>
          <w:color w:val="2F2F2F"/>
          <w:szCs w:val="18"/>
          <w:lang w:eastAsia="es-MX"/>
        </w:rPr>
      </w:pPr>
      <w:r>
        <w:rPr>
          <w:rFonts w:eastAsia="Times New Roman"/>
          <w:color w:val="2F2F2F"/>
          <w:szCs w:val="18"/>
          <w:lang w:eastAsia="es-MX"/>
        </w:rPr>
        <w:tab/>
      </w:r>
      <w:r w:rsidR="00A66FE9">
        <w:rPr>
          <w:rFonts w:eastAsia="Times New Roman"/>
          <w:color w:val="2F2F2F"/>
          <w:szCs w:val="18"/>
          <w:lang w:eastAsia="es-MX"/>
        </w:rPr>
        <w:t>Es decir, t</w:t>
      </w:r>
      <w:r w:rsidR="005238F7">
        <w:rPr>
          <w:rFonts w:eastAsia="Times New Roman"/>
          <w:color w:val="2F2F2F"/>
          <w:szCs w:val="18"/>
          <w:lang w:eastAsia="es-MX"/>
        </w:rPr>
        <w:t xml:space="preserve">odas aquellos servidores públicos </w:t>
      </w:r>
      <w:r w:rsidR="005238F7" w:rsidRPr="005238F7">
        <w:rPr>
          <w:rFonts w:eastAsia="Times New Roman"/>
          <w:color w:val="2F2F2F"/>
          <w:szCs w:val="18"/>
          <w:lang w:eastAsia="es-MX"/>
        </w:rPr>
        <w:t xml:space="preserve">que no tenían la obligación de presentar la multicitada declaración, y que por mandato de la Ley General de Responsabilidades Administrativas ahora la tendrán, comenzarán a declarar </w:t>
      </w:r>
      <w:r w:rsidR="00A66FE9">
        <w:rPr>
          <w:rFonts w:eastAsia="Times New Roman"/>
          <w:b/>
          <w:color w:val="2F2F2F"/>
          <w:szCs w:val="18"/>
          <w:lang w:eastAsia="es-MX"/>
        </w:rPr>
        <w:t xml:space="preserve">HASTA EL MES DE MAYO DEL 2021, </w:t>
      </w:r>
      <w:r w:rsidR="00A66FE9" w:rsidRPr="00A66FE9">
        <w:rPr>
          <w:rFonts w:eastAsia="Times New Roman"/>
          <w:color w:val="2F2F2F"/>
          <w:szCs w:val="18"/>
          <w:lang w:eastAsia="es-MX"/>
        </w:rPr>
        <w:t>toda vez que</w:t>
      </w:r>
      <w:r w:rsidR="00A66FE9">
        <w:rPr>
          <w:rFonts w:eastAsia="Times New Roman"/>
          <w:b/>
          <w:color w:val="2F2F2F"/>
          <w:szCs w:val="18"/>
          <w:lang w:eastAsia="es-MX"/>
        </w:rPr>
        <w:t xml:space="preserve"> </w:t>
      </w:r>
      <w:r w:rsidR="005238F7" w:rsidRPr="005238F7">
        <w:rPr>
          <w:rFonts w:eastAsia="Times New Roman"/>
          <w:color w:val="2F2F2F"/>
          <w:szCs w:val="18"/>
          <w:lang w:eastAsia="es-MX"/>
        </w:rPr>
        <w:t xml:space="preserve">así lo informó la Secretaria Ejecutiva del Sistema Nacional Anticorrupción, el pasado </w:t>
      </w:r>
      <w:r w:rsidR="005238F7">
        <w:rPr>
          <w:rFonts w:eastAsia="Times New Roman"/>
          <w:color w:val="2F2F2F"/>
          <w:szCs w:val="18"/>
          <w:lang w:eastAsia="es-MX"/>
        </w:rPr>
        <w:t>11 de diciembre del 2019</w:t>
      </w:r>
      <w:r w:rsidR="005238F7" w:rsidRPr="005238F7">
        <w:rPr>
          <w:rFonts w:eastAsia="Times New Roman"/>
          <w:color w:val="2F2F2F"/>
          <w:szCs w:val="18"/>
          <w:lang w:eastAsia="es-MX"/>
        </w:rPr>
        <w:t xml:space="preserve">. Por lo tanto, durante el año 2020 </w:t>
      </w:r>
      <w:r w:rsidR="005238F7">
        <w:rPr>
          <w:rFonts w:eastAsia="Times New Roman"/>
          <w:color w:val="2F2F2F"/>
          <w:szCs w:val="18"/>
          <w:lang w:eastAsia="es-MX"/>
        </w:rPr>
        <w:t xml:space="preserve">y hasta el último día del mes de abril del 2021 </w:t>
      </w:r>
      <w:r w:rsidR="005238F7" w:rsidRPr="005238F7">
        <w:rPr>
          <w:rFonts w:eastAsia="Times New Roman"/>
          <w:color w:val="2F2F2F"/>
          <w:szCs w:val="18"/>
          <w:lang w:eastAsia="es-MX"/>
        </w:rPr>
        <w:t>seguirán operables los formatos hasta hoy vigentes</w:t>
      </w:r>
      <w:r w:rsidR="005238F7">
        <w:rPr>
          <w:rFonts w:eastAsia="Times New Roman"/>
          <w:color w:val="2F2F2F"/>
          <w:szCs w:val="18"/>
          <w:lang w:eastAsia="es-MX"/>
        </w:rPr>
        <w:t>, es decir los que hasta antes de la entrada en vigor de la Ley General arriba en cita, se venían utilizando a nivel federal</w:t>
      </w:r>
      <w:r w:rsidR="00A66FE9">
        <w:rPr>
          <w:rFonts w:eastAsia="Times New Roman"/>
          <w:color w:val="2F2F2F"/>
          <w:szCs w:val="18"/>
          <w:lang w:eastAsia="es-MX"/>
        </w:rPr>
        <w:t>, así como los criterios de presentación hasta hoy difundidos por el Órgano Interno de Control.</w:t>
      </w:r>
      <w:r w:rsidR="005238F7">
        <w:rPr>
          <w:rFonts w:eastAsia="Times New Roman"/>
          <w:color w:val="2F2F2F"/>
          <w:szCs w:val="18"/>
          <w:lang w:eastAsia="es-MX"/>
        </w:rPr>
        <w:t xml:space="preserve"> </w:t>
      </w:r>
    </w:p>
    <w:p w14:paraId="0561F8CE" w14:textId="77777777" w:rsidR="000216E3" w:rsidRPr="000216E3" w:rsidRDefault="000216E3" w:rsidP="0069794B">
      <w:pPr>
        <w:spacing w:after="60" w:line="276" w:lineRule="auto"/>
        <w:jc w:val="both"/>
        <w:rPr>
          <w:rFonts w:eastAsia="Times New Roman"/>
          <w:color w:val="2F2F2F"/>
          <w:szCs w:val="18"/>
          <w:lang w:eastAsia="es-MX"/>
        </w:rPr>
      </w:pPr>
    </w:p>
    <w:p w14:paraId="1A92B4BB" w14:textId="77777777" w:rsidR="00296739" w:rsidRPr="00296739" w:rsidRDefault="000216E3" w:rsidP="0069794B">
      <w:pPr>
        <w:spacing w:line="276" w:lineRule="auto"/>
        <w:ind w:right="-710"/>
        <w:jc w:val="both"/>
        <w:rPr>
          <w:rFonts w:eastAsia="Calibri"/>
          <w:u w:val="single"/>
        </w:rPr>
      </w:pPr>
      <w:r w:rsidRPr="000216E3">
        <w:rPr>
          <w:rFonts w:eastAsia="Times New Roman"/>
          <w:color w:val="2F2F2F"/>
          <w:szCs w:val="18"/>
          <w:lang w:eastAsia="es-MX"/>
        </w:rPr>
        <w:tab/>
      </w:r>
      <w:r>
        <w:rPr>
          <w:rFonts w:eastAsia="Calibri"/>
          <w:b/>
        </w:rPr>
        <w:tab/>
      </w:r>
      <w:r w:rsidRPr="00296739">
        <w:rPr>
          <w:rFonts w:eastAsia="Calibri"/>
          <w:b/>
          <w:u w:val="single"/>
        </w:rPr>
        <w:t>5.- LINK DE ACCESO A LA PLATAFORMA “DECLARAZAP”</w:t>
      </w:r>
      <w:r w:rsidRPr="00296739">
        <w:rPr>
          <w:rFonts w:eastAsia="Calibri"/>
          <w:u w:val="single"/>
        </w:rPr>
        <w:t xml:space="preserve"> </w:t>
      </w:r>
    </w:p>
    <w:p w14:paraId="092C1EC3" w14:textId="77777777" w:rsidR="00296739" w:rsidRDefault="00296739" w:rsidP="0069794B">
      <w:pPr>
        <w:spacing w:line="276" w:lineRule="auto"/>
        <w:ind w:right="-710"/>
        <w:jc w:val="both"/>
        <w:rPr>
          <w:rFonts w:eastAsia="Calibri"/>
        </w:rPr>
      </w:pPr>
    </w:p>
    <w:p w14:paraId="7CA4D47C" w14:textId="77777777" w:rsidR="000216E3" w:rsidRPr="000216E3" w:rsidRDefault="0069794B" w:rsidP="0069794B">
      <w:pPr>
        <w:spacing w:line="276" w:lineRule="auto"/>
        <w:ind w:right="-710"/>
        <w:jc w:val="both"/>
        <w:rPr>
          <w:rFonts w:eastAsia="Calibri"/>
          <w:b/>
        </w:rPr>
      </w:pPr>
      <w:hyperlink r:id="rId6" w:history="1">
        <w:r w:rsidR="000216E3" w:rsidRPr="000216E3">
          <w:rPr>
            <w:rStyle w:val="Hipervnculo"/>
          </w:rPr>
          <w:t>http://contraloria.zapopan.gob.mx/declarazap/ingresar.aspx</w:t>
        </w:r>
      </w:hyperlink>
      <w:r w:rsidR="000216E3" w:rsidRPr="000216E3">
        <w:t>. Para los casos en que por primera ocasión se ingrese a realizar la declaración correspondiente se deberá ingresar el número de empleado asignado y la contraseña declara123, para que, acto seguido, se establezca la contraseña que el usuario determine y comenzar con el llenado de información.</w:t>
      </w:r>
    </w:p>
    <w:p w14:paraId="5A789B59" w14:textId="77777777" w:rsidR="000216E3" w:rsidRPr="000216E3" w:rsidRDefault="000216E3" w:rsidP="0069794B">
      <w:pPr>
        <w:spacing w:line="276" w:lineRule="auto"/>
        <w:ind w:right="-710"/>
        <w:jc w:val="both"/>
      </w:pPr>
    </w:p>
    <w:p w14:paraId="5FEC7A60" w14:textId="77777777" w:rsidR="000216E3" w:rsidRDefault="000216E3" w:rsidP="0069794B">
      <w:pPr>
        <w:spacing w:line="276" w:lineRule="auto"/>
        <w:ind w:right="-710"/>
        <w:jc w:val="both"/>
        <w:rPr>
          <w:b/>
        </w:rPr>
      </w:pPr>
      <w:r>
        <w:rPr>
          <w:b/>
        </w:rPr>
        <w:tab/>
      </w:r>
      <w:r>
        <w:rPr>
          <w:b/>
        </w:rPr>
        <w:tab/>
      </w:r>
    </w:p>
    <w:p w14:paraId="0E1F94F0" w14:textId="77777777" w:rsidR="00EE3901" w:rsidRDefault="000216E3" w:rsidP="0069794B">
      <w:pPr>
        <w:spacing w:line="276" w:lineRule="auto"/>
        <w:ind w:right="-710"/>
        <w:jc w:val="both"/>
        <w:rPr>
          <w:b/>
        </w:rPr>
      </w:pPr>
      <w:r>
        <w:rPr>
          <w:b/>
        </w:rPr>
        <w:tab/>
      </w:r>
      <w:r>
        <w:rPr>
          <w:b/>
        </w:rPr>
        <w:tab/>
      </w:r>
    </w:p>
    <w:p w14:paraId="6CA1696A" w14:textId="77777777" w:rsidR="000216E3" w:rsidRPr="00296739" w:rsidRDefault="00EE3901" w:rsidP="0069794B">
      <w:pPr>
        <w:spacing w:line="276" w:lineRule="auto"/>
        <w:ind w:right="-710"/>
        <w:jc w:val="both"/>
        <w:rPr>
          <w:b/>
          <w:u w:val="single"/>
        </w:rPr>
      </w:pPr>
      <w:r>
        <w:rPr>
          <w:b/>
        </w:rPr>
        <w:lastRenderedPageBreak/>
        <w:tab/>
      </w:r>
      <w:r>
        <w:rPr>
          <w:b/>
        </w:rPr>
        <w:tab/>
      </w:r>
      <w:r w:rsidR="001C24A3">
        <w:rPr>
          <w:b/>
        </w:rPr>
        <w:t xml:space="preserve">6.- </w:t>
      </w:r>
      <w:r w:rsidR="000216E3" w:rsidRPr="00296739">
        <w:rPr>
          <w:b/>
          <w:u w:val="single"/>
        </w:rPr>
        <w:t>DE LAS POSIBLES SANCIONES.-</w:t>
      </w:r>
    </w:p>
    <w:p w14:paraId="07560A7C" w14:textId="77777777" w:rsidR="000216E3" w:rsidRPr="000216E3" w:rsidRDefault="000216E3" w:rsidP="0069794B">
      <w:pPr>
        <w:spacing w:line="276" w:lineRule="auto"/>
        <w:ind w:right="-710"/>
        <w:jc w:val="both"/>
        <w:rPr>
          <w:b/>
        </w:rPr>
      </w:pPr>
    </w:p>
    <w:p w14:paraId="0ADCFE02" w14:textId="77777777" w:rsidR="000216E3" w:rsidRPr="000216E3" w:rsidRDefault="000216E3" w:rsidP="0069794B">
      <w:pPr>
        <w:pStyle w:val="Prrafodelista"/>
        <w:widowControl/>
        <w:numPr>
          <w:ilvl w:val="0"/>
          <w:numId w:val="1"/>
        </w:numPr>
        <w:autoSpaceDE/>
        <w:autoSpaceDN/>
        <w:spacing w:after="160" w:line="276" w:lineRule="auto"/>
        <w:ind w:left="0" w:right="-710" w:firstLine="993"/>
        <w:contextualSpacing/>
        <w:jc w:val="both"/>
        <w:rPr>
          <w:szCs w:val="24"/>
        </w:rPr>
      </w:pPr>
      <w:r w:rsidRPr="000216E3">
        <w:rPr>
          <w:szCs w:val="24"/>
        </w:rPr>
        <w:t>Si transcurridos los plazos</w:t>
      </w:r>
      <w:r>
        <w:rPr>
          <w:szCs w:val="24"/>
        </w:rPr>
        <w:t xml:space="preserve"> a que se refiere el apartado 3 de la presente ficha técnica</w:t>
      </w:r>
      <w:r w:rsidRPr="000216E3">
        <w:rPr>
          <w:szCs w:val="24"/>
        </w:rPr>
        <w:t xml:space="preserve">, no se hubiese presentado la declaración correspondiente, sin causa justificada, </w:t>
      </w:r>
      <w:r w:rsidRPr="000216E3">
        <w:rPr>
          <w:b/>
          <w:szCs w:val="24"/>
        </w:rPr>
        <w:t>SE INICIARÁ INMEDIATAMENTE LA INVESTIGACIÓN POR PRESUNTA RESPONSABILIDAD POR LA COMISIÓN DE LAS FALTAS ADMINISTRATIVAS</w:t>
      </w:r>
      <w:r w:rsidRPr="000216E3">
        <w:rPr>
          <w:szCs w:val="24"/>
        </w:rPr>
        <w:t xml:space="preserve"> correspondientes y se requerirá por escrito al Declarante el cumplimiento de dicha obligación.</w:t>
      </w:r>
    </w:p>
    <w:p w14:paraId="5B0946BA" w14:textId="77777777" w:rsidR="000216E3" w:rsidRPr="000216E3" w:rsidRDefault="000216E3" w:rsidP="0069794B">
      <w:pPr>
        <w:spacing w:line="276" w:lineRule="auto"/>
        <w:ind w:right="-710"/>
        <w:jc w:val="both"/>
      </w:pPr>
      <w:r>
        <w:tab/>
      </w:r>
      <w:r>
        <w:tab/>
      </w:r>
      <w:r w:rsidRPr="000216E3">
        <w:t xml:space="preserve">Tratándose de los supuestos concernientes a la Declaración de </w:t>
      </w:r>
      <w:r w:rsidRPr="000216E3">
        <w:rPr>
          <w:b/>
        </w:rPr>
        <w:t xml:space="preserve">TIPO INICIAL Y/O ANUAL, SI LA OMISIÓN SUBSISTIERA POR UN PERIODO DE 30 DÍAS NATURALES POSTERIOR AL REQUERIMIENTO ARRIBA EN CITA, </w:t>
      </w:r>
      <w:r w:rsidRPr="000216E3">
        <w:t>el expediente se pondrá a disposición de la Autoridad Substanciada de la Contraloría Ciudadana, para que</w:t>
      </w:r>
      <w:r>
        <w:t xml:space="preserve"> desahogue el procedimiento de responsabilidad administrativa y en su caso</w:t>
      </w:r>
      <w:r w:rsidRPr="000216E3">
        <w:t xml:space="preserve"> determine la sanción a imponer, mismas que pudiesen consistir en:</w:t>
      </w:r>
    </w:p>
    <w:p w14:paraId="0DEB29A9" w14:textId="77777777" w:rsidR="000216E3" w:rsidRPr="000216E3" w:rsidRDefault="000216E3" w:rsidP="0069794B">
      <w:pPr>
        <w:spacing w:line="276" w:lineRule="auto"/>
        <w:ind w:left="28" w:right="-710"/>
        <w:jc w:val="both"/>
        <w:rPr>
          <w:i/>
        </w:rPr>
      </w:pPr>
    </w:p>
    <w:p w14:paraId="11A9F4F1" w14:textId="77777777" w:rsidR="000216E3" w:rsidRPr="000216E3" w:rsidRDefault="000216E3" w:rsidP="0069794B">
      <w:pPr>
        <w:spacing w:line="276" w:lineRule="auto"/>
        <w:ind w:left="28" w:right="-710" w:firstLine="142"/>
        <w:jc w:val="both"/>
        <w:rPr>
          <w:b/>
          <w:i/>
        </w:rPr>
      </w:pPr>
      <w:r w:rsidRPr="000216E3">
        <w:rPr>
          <w:b/>
          <w:i/>
        </w:rPr>
        <w:t>I. Amonestación pública o privada;</w:t>
      </w:r>
    </w:p>
    <w:p w14:paraId="40266C09" w14:textId="77777777" w:rsidR="000216E3" w:rsidRPr="000216E3" w:rsidRDefault="000216E3" w:rsidP="0069794B">
      <w:pPr>
        <w:spacing w:line="276" w:lineRule="auto"/>
        <w:ind w:left="28" w:right="-710" w:firstLine="142"/>
        <w:jc w:val="both"/>
        <w:rPr>
          <w:b/>
          <w:i/>
        </w:rPr>
      </w:pPr>
      <w:r w:rsidRPr="000216E3">
        <w:rPr>
          <w:b/>
          <w:i/>
        </w:rPr>
        <w:t>II. Suspensión del empleo, cargo o comisión;</w:t>
      </w:r>
    </w:p>
    <w:p w14:paraId="1D0B6EBD" w14:textId="77777777" w:rsidR="000216E3" w:rsidRPr="000216E3" w:rsidRDefault="000216E3" w:rsidP="0069794B">
      <w:pPr>
        <w:spacing w:line="276" w:lineRule="auto"/>
        <w:ind w:left="28" w:right="-710" w:firstLine="142"/>
        <w:jc w:val="both"/>
        <w:rPr>
          <w:b/>
          <w:i/>
        </w:rPr>
      </w:pPr>
      <w:r w:rsidRPr="000216E3">
        <w:rPr>
          <w:b/>
          <w:i/>
        </w:rPr>
        <w:t>III. Destitución de su empleo, cargo o comisión, y</w:t>
      </w:r>
    </w:p>
    <w:p w14:paraId="5AA3F77D" w14:textId="77777777" w:rsidR="000216E3" w:rsidRPr="000216E3" w:rsidRDefault="000216E3" w:rsidP="0069794B">
      <w:pPr>
        <w:spacing w:line="276" w:lineRule="auto"/>
        <w:ind w:left="28" w:right="-710" w:firstLine="142"/>
        <w:jc w:val="both"/>
        <w:rPr>
          <w:b/>
          <w:i/>
        </w:rPr>
      </w:pPr>
      <w:r w:rsidRPr="000216E3">
        <w:rPr>
          <w:b/>
          <w:i/>
        </w:rPr>
        <w:t xml:space="preserve">IV. Inhabilitación temporal para desempeñar empleos, cargos o comisiones en el </w:t>
      </w:r>
      <w:r w:rsidRPr="000216E3">
        <w:rPr>
          <w:b/>
          <w:i/>
        </w:rPr>
        <w:tab/>
        <w:t xml:space="preserve">  servicio público y para participar en adquisiciones, arrendamientos, servicios u obras  </w:t>
      </w:r>
      <w:r w:rsidRPr="000216E3">
        <w:rPr>
          <w:b/>
          <w:i/>
        </w:rPr>
        <w:tab/>
        <w:t xml:space="preserve">  públicas.</w:t>
      </w:r>
    </w:p>
    <w:p w14:paraId="5F5A6467" w14:textId="77777777" w:rsidR="000216E3" w:rsidRPr="000216E3" w:rsidRDefault="000216E3" w:rsidP="0069794B">
      <w:pPr>
        <w:spacing w:line="276" w:lineRule="auto"/>
        <w:ind w:right="-710" w:firstLine="491"/>
        <w:jc w:val="both"/>
        <w:rPr>
          <w:b/>
          <w:sz w:val="20"/>
        </w:rPr>
      </w:pPr>
    </w:p>
    <w:p w14:paraId="29CAB623" w14:textId="77777777" w:rsidR="000216E3" w:rsidRPr="000216E3" w:rsidRDefault="000216E3" w:rsidP="0069794B">
      <w:pPr>
        <w:pStyle w:val="Prrafodelista"/>
        <w:widowControl/>
        <w:numPr>
          <w:ilvl w:val="0"/>
          <w:numId w:val="1"/>
        </w:numPr>
        <w:autoSpaceDE/>
        <w:autoSpaceDN/>
        <w:spacing w:after="160" w:line="276" w:lineRule="auto"/>
        <w:ind w:left="0" w:right="-710" w:firstLine="851"/>
        <w:contextualSpacing/>
        <w:jc w:val="both"/>
        <w:rPr>
          <w:b/>
          <w:szCs w:val="24"/>
        </w:rPr>
      </w:pPr>
      <w:r w:rsidRPr="000216E3">
        <w:rPr>
          <w:szCs w:val="24"/>
        </w:rPr>
        <w:t xml:space="preserve">Tratándose del supuesto concerniente a la Declaración de </w:t>
      </w:r>
      <w:r w:rsidRPr="000216E3">
        <w:rPr>
          <w:b/>
          <w:szCs w:val="24"/>
        </w:rPr>
        <w:t xml:space="preserve">TIPO CONCLUSIÓN </w:t>
      </w:r>
      <w:r w:rsidRPr="000216E3">
        <w:rPr>
          <w:szCs w:val="24"/>
        </w:rPr>
        <w:t xml:space="preserve">la sanción consistirá inevitablemente en </w:t>
      </w:r>
      <w:r w:rsidRPr="000216E3">
        <w:rPr>
          <w:b/>
          <w:szCs w:val="24"/>
        </w:rPr>
        <w:t>INHABILITAR AL INFRACTOR DE 3 MESES A 1 AÑO.</w:t>
      </w:r>
    </w:p>
    <w:p w14:paraId="60BA13B6" w14:textId="77777777" w:rsidR="000216E3" w:rsidRPr="000216E3" w:rsidRDefault="000216E3" w:rsidP="0069794B">
      <w:pPr>
        <w:spacing w:after="60" w:line="276" w:lineRule="auto"/>
        <w:ind w:right="-721"/>
        <w:jc w:val="both"/>
        <w:rPr>
          <w:rFonts w:eastAsia="Times New Roman"/>
          <w:color w:val="2F2F2F"/>
          <w:sz w:val="20"/>
          <w:szCs w:val="18"/>
          <w:lang w:eastAsia="es-MX"/>
        </w:rPr>
      </w:pPr>
    </w:p>
    <w:p w14:paraId="5D931365" w14:textId="77777777" w:rsidR="00802A87" w:rsidRPr="001C24A3" w:rsidRDefault="001C24A3" w:rsidP="0069794B">
      <w:pPr>
        <w:spacing w:after="60" w:line="276" w:lineRule="auto"/>
        <w:ind w:right="-721"/>
        <w:jc w:val="both"/>
        <w:rPr>
          <w:rFonts w:eastAsia="Times New Roman"/>
          <w:color w:val="2F2F2F"/>
          <w:szCs w:val="18"/>
          <w:lang w:eastAsia="es-MX"/>
        </w:rPr>
      </w:pPr>
      <w:r>
        <w:rPr>
          <w:rFonts w:eastAsia="Times New Roman"/>
          <w:color w:val="2F2F2F"/>
          <w:sz w:val="20"/>
          <w:szCs w:val="18"/>
          <w:lang w:eastAsia="es-MX"/>
        </w:rPr>
        <w:tab/>
      </w:r>
      <w:r w:rsidRPr="001C24A3">
        <w:rPr>
          <w:rFonts w:eastAsia="Times New Roman"/>
          <w:b/>
          <w:color w:val="2F2F2F"/>
          <w:szCs w:val="18"/>
          <w:u w:val="single"/>
          <w:lang w:eastAsia="es-MX"/>
        </w:rPr>
        <w:t xml:space="preserve">7.- HISTORIAL DE ACUERDOS EMITIDOS POR EL COMITÉ COORDINADOR DEL </w:t>
      </w:r>
      <w:r>
        <w:rPr>
          <w:rFonts w:eastAsia="Times New Roman"/>
          <w:b/>
          <w:color w:val="2F2F2F"/>
          <w:szCs w:val="18"/>
          <w:u w:val="single"/>
          <w:lang w:eastAsia="es-MX"/>
        </w:rPr>
        <w:t>SISTEMA NACIONAL ANTICORRUPCIÓN, REFERENTES A LOS CRITERIOS DE PRESENTACIÓN, MODALIDADES, FORMATOS, ETC.</w:t>
      </w:r>
      <w:r>
        <w:rPr>
          <w:rFonts w:eastAsia="Times New Roman"/>
          <w:color w:val="2F2F2F"/>
          <w:szCs w:val="18"/>
          <w:lang w:eastAsia="es-MX"/>
        </w:rPr>
        <w:tab/>
      </w:r>
    </w:p>
    <w:p w14:paraId="6E5BE135" w14:textId="77777777" w:rsidR="001C24A3" w:rsidRDefault="0063527B" w:rsidP="0069794B">
      <w:pPr>
        <w:spacing w:before="122" w:line="276" w:lineRule="auto"/>
        <w:ind w:right="-721"/>
        <w:jc w:val="both"/>
      </w:pPr>
      <w:r w:rsidRPr="000216E3">
        <w:t>.</w:t>
      </w:r>
    </w:p>
    <w:p w14:paraId="55DB8E16" w14:textId="77777777" w:rsidR="001C24A3" w:rsidRDefault="001C24A3" w:rsidP="0069794B">
      <w:pPr>
        <w:spacing w:before="122" w:line="276" w:lineRule="auto"/>
        <w:ind w:right="-721"/>
        <w:jc w:val="both"/>
      </w:pPr>
      <w:r>
        <w:tab/>
      </w:r>
      <w:r w:rsidRPr="001C24A3">
        <w:rPr>
          <w:u w:val="single"/>
        </w:rPr>
        <w:t>1.- 14 DE JULIO DE 2017.</w:t>
      </w:r>
      <w:r>
        <w:t xml:space="preserve"> </w:t>
      </w:r>
      <w:r w:rsidRPr="001C24A3">
        <w:t>ACUERDO por el que el Comité Coordinador del Sistema Nacional Anticorrupción da a conocer la obligación de presentar las declaraciones de situación patrimonial y de intereses conforme a los artículos 32 y 33 de la Ley General de Responsabilidades Administrativas.</w:t>
      </w:r>
      <w:r w:rsidRPr="001C24A3">
        <w:rPr>
          <w:sz w:val="32"/>
        </w:rPr>
        <w:t xml:space="preserve"> </w:t>
      </w:r>
      <w:hyperlink r:id="rId7" w:history="1">
        <w:r w:rsidRPr="001C24A3">
          <w:rPr>
            <w:rStyle w:val="Hipervnculo"/>
          </w:rPr>
          <w:t>https://www.dof.gob.mx/nota_detalle.php?codigo=5490303&amp;fecha=14/07/2017</w:t>
        </w:r>
      </w:hyperlink>
    </w:p>
    <w:p w14:paraId="62E6C81E" w14:textId="77777777" w:rsidR="001C24A3" w:rsidRDefault="001C24A3" w:rsidP="0069794B">
      <w:pPr>
        <w:spacing w:before="122" w:line="276" w:lineRule="auto"/>
        <w:ind w:right="-721"/>
        <w:jc w:val="both"/>
      </w:pPr>
    </w:p>
    <w:p w14:paraId="4A9816D7" w14:textId="77777777" w:rsidR="001C24A3" w:rsidRDefault="001C24A3" w:rsidP="0069794B">
      <w:pPr>
        <w:spacing w:before="122" w:line="276" w:lineRule="auto"/>
        <w:ind w:right="-721"/>
        <w:jc w:val="both"/>
      </w:pPr>
      <w:r>
        <w:tab/>
      </w:r>
      <w:r w:rsidRPr="001C24A3">
        <w:rPr>
          <w:u w:val="single"/>
        </w:rPr>
        <w:t>2.- 16 DE NOVIEMBRE DE 2018</w:t>
      </w:r>
      <w:r>
        <w:t xml:space="preserve">. </w:t>
      </w:r>
      <w:r w:rsidRPr="001C24A3">
        <w:t>ACUERDO por el que el Comité Coordinador del Sistema Nacional Anticorrupción emite el formato de declaraciones: de situación patrimonial y de intereses; y expide las normas e instructivo para su llenado y presentación.</w:t>
      </w:r>
      <w:r>
        <w:t xml:space="preserve"> </w:t>
      </w:r>
      <w:hyperlink r:id="rId8" w:history="1">
        <w:r>
          <w:rPr>
            <w:rStyle w:val="Hipervnculo"/>
          </w:rPr>
          <w:t>https://www.dof.gob.mx/nota_detalle.php?codigo=5544152&amp;fecha=16/11/2018</w:t>
        </w:r>
      </w:hyperlink>
      <w:r>
        <w:t>.</w:t>
      </w:r>
    </w:p>
    <w:p w14:paraId="47B11E2E" w14:textId="77777777" w:rsidR="001C24A3" w:rsidRDefault="001C24A3" w:rsidP="0069794B">
      <w:pPr>
        <w:spacing w:before="122" w:line="276" w:lineRule="auto"/>
        <w:ind w:right="-721"/>
        <w:jc w:val="both"/>
      </w:pPr>
    </w:p>
    <w:p w14:paraId="70DFB003" w14:textId="77777777" w:rsidR="001C24A3" w:rsidRDefault="001C24A3" w:rsidP="0069794B">
      <w:pPr>
        <w:spacing w:before="122" w:line="276" w:lineRule="auto"/>
        <w:ind w:right="-721"/>
        <w:jc w:val="both"/>
      </w:pPr>
      <w:r>
        <w:tab/>
      </w:r>
      <w:r w:rsidRPr="001C24A3">
        <w:rPr>
          <w:u w:val="single"/>
        </w:rPr>
        <w:t xml:space="preserve">3.- 23 DE SEPTIEMBRE DE 2019. </w:t>
      </w:r>
      <w:r>
        <w:t xml:space="preserve"> </w:t>
      </w:r>
      <w:r w:rsidRPr="001C24A3">
        <w:t xml:space="preserve">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w:t>
      </w:r>
      <w:hyperlink r:id="rId9" w:history="1">
        <w:r w:rsidRPr="001C24A3">
          <w:rPr>
            <w:rStyle w:val="Hipervnculo"/>
          </w:rPr>
          <w:t>https://www.dof.gob.mx/nota_detalle.php?codigo=5573194&amp;fecha=23/09/2019</w:t>
        </w:r>
      </w:hyperlink>
      <w:r>
        <w:t>.</w:t>
      </w:r>
    </w:p>
    <w:p w14:paraId="5070531B" w14:textId="77777777" w:rsidR="001C24A3" w:rsidRDefault="001C24A3" w:rsidP="0069794B">
      <w:pPr>
        <w:spacing w:before="122" w:line="276" w:lineRule="auto"/>
        <w:ind w:right="-721"/>
        <w:jc w:val="both"/>
      </w:pPr>
    </w:p>
    <w:p w14:paraId="003121EE" w14:textId="77777777" w:rsidR="001C24A3" w:rsidRPr="001C24A3" w:rsidRDefault="001C24A3" w:rsidP="0069794B">
      <w:pPr>
        <w:spacing w:before="122" w:line="276" w:lineRule="auto"/>
        <w:ind w:right="-721"/>
        <w:jc w:val="both"/>
      </w:pPr>
      <w:r>
        <w:lastRenderedPageBreak/>
        <w:tab/>
      </w:r>
      <w:r w:rsidRPr="001C24A3">
        <w:rPr>
          <w:u w:val="single"/>
        </w:rPr>
        <w:t>4.- 24 DE DICIEMBRE DE 2019.</w:t>
      </w:r>
      <w:r>
        <w:t xml:space="preserve"> </w:t>
      </w:r>
      <w:r w:rsidRPr="001C24A3">
        <w:t>ACUERDO por el que el Comité Coordinador del Sistema Nacional Anticorrupción da a conocer que los formatos de declaración de situación patrimonial y de intereses son técnicamente operables con el Sistema de Evolución Patrimonial y de Declaración de Intereses de la Plataforma Digital Nacional, así como el inicio de la obligación de los servidores públicos de presentar sus respectivas declaraciones de situación patrimonial y de intereses conforme a los artículos 32 y 33 de la Ley General de Responsabilidades Administrativas.</w:t>
      </w:r>
      <w:r>
        <w:t xml:space="preserve"> </w:t>
      </w:r>
      <w:hyperlink r:id="rId10" w:history="1">
        <w:r>
          <w:rPr>
            <w:rStyle w:val="Hipervnculo"/>
          </w:rPr>
          <w:t>https://www.dof.gob.mx/nota_detalle.php?codigo=5582735&amp;fecha=24/12/2019</w:t>
        </w:r>
      </w:hyperlink>
    </w:p>
    <w:sectPr w:rsidR="001C24A3" w:rsidRPr="001C24A3">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40C94"/>
    <w:multiLevelType w:val="hybridMultilevel"/>
    <w:tmpl w:val="E2544CDC"/>
    <w:lvl w:ilvl="0" w:tplc="1682C5B6">
      <w:start w:val="1"/>
      <w:numFmt w:val="lowerLetter"/>
      <w:lvlText w:val="%1)"/>
      <w:lvlJc w:val="left"/>
      <w:pPr>
        <w:ind w:left="9149" w:hanging="360"/>
      </w:pPr>
      <w:rPr>
        <w:b/>
        <w:sz w:val="24"/>
      </w:rPr>
    </w:lvl>
    <w:lvl w:ilvl="1" w:tplc="080A0019" w:tentative="1">
      <w:start w:val="1"/>
      <w:numFmt w:val="lowerLetter"/>
      <w:lvlText w:val="%2."/>
      <w:lvlJc w:val="left"/>
      <w:pPr>
        <w:ind w:left="8452" w:hanging="360"/>
      </w:pPr>
    </w:lvl>
    <w:lvl w:ilvl="2" w:tplc="080A001B" w:tentative="1">
      <w:start w:val="1"/>
      <w:numFmt w:val="lowerRoman"/>
      <w:lvlText w:val="%3."/>
      <w:lvlJc w:val="right"/>
      <w:pPr>
        <w:ind w:left="9172" w:hanging="180"/>
      </w:pPr>
    </w:lvl>
    <w:lvl w:ilvl="3" w:tplc="080A000F" w:tentative="1">
      <w:start w:val="1"/>
      <w:numFmt w:val="decimal"/>
      <w:lvlText w:val="%4."/>
      <w:lvlJc w:val="left"/>
      <w:pPr>
        <w:ind w:left="9892" w:hanging="360"/>
      </w:pPr>
    </w:lvl>
    <w:lvl w:ilvl="4" w:tplc="080A0019" w:tentative="1">
      <w:start w:val="1"/>
      <w:numFmt w:val="lowerLetter"/>
      <w:lvlText w:val="%5."/>
      <w:lvlJc w:val="left"/>
      <w:pPr>
        <w:ind w:left="10612" w:hanging="360"/>
      </w:pPr>
    </w:lvl>
    <w:lvl w:ilvl="5" w:tplc="080A001B" w:tentative="1">
      <w:start w:val="1"/>
      <w:numFmt w:val="lowerRoman"/>
      <w:lvlText w:val="%6."/>
      <w:lvlJc w:val="right"/>
      <w:pPr>
        <w:ind w:left="11332" w:hanging="180"/>
      </w:pPr>
    </w:lvl>
    <w:lvl w:ilvl="6" w:tplc="080A000F" w:tentative="1">
      <w:start w:val="1"/>
      <w:numFmt w:val="decimal"/>
      <w:lvlText w:val="%7."/>
      <w:lvlJc w:val="left"/>
      <w:pPr>
        <w:ind w:left="12052" w:hanging="360"/>
      </w:pPr>
    </w:lvl>
    <w:lvl w:ilvl="7" w:tplc="080A0019" w:tentative="1">
      <w:start w:val="1"/>
      <w:numFmt w:val="lowerLetter"/>
      <w:lvlText w:val="%8."/>
      <w:lvlJc w:val="left"/>
      <w:pPr>
        <w:ind w:left="12772" w:hanging="360"/>
      </w:pPr>
    </w:lvl>
    <w:lvl w:ilvl="8" w:tplc="080A001B" w:tentative="1">
      <w:start w:val="1"/>
      <w:numFmt w:val="lowerRoman"/>
      <w:lvlText w:val="%9."/>
      <w:lvlJc w:val="right"/>
      <w:pPr>
        <w:ind w:left="134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73"/>
    <w:rsid w:val="000216E3"/>
    <w:rsid w:val="00191663"/>
    <w:rsid w:val="001C24A3"/>
    <w:rsid w:val="00296739"/>
    <w:rsid w:val="004B093F"/>
    <w:rsid w:val="005238F7"/>
    <w:rsid w:val="005E2F3E"/>
    <w:rsid w:val="00616A88"/>
    <w:rsid w:val="0063527B"/>
    <w:rsid w:val="00662F55"/>
    <w:rsid w:val="0069794B"/>
    <w:rsid w:val="00802A87"/>
    <w:rsid w:val="00A66FE9"/>
    <w:rsid w:val="00B85373"/>
    <w:rsid w:val="00EE39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8229"/>
  <w15:docId w15:val="{B3E5ACC3-118C-409C-BAE4-75C9B8C1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81" w:right="69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23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544152&amp;fecha=16/11/2018" TargetMode="External"/><Relationship Id="rId3" Type="http://schemas.openxmlformats.org/officeDocument/2006/relationships/styles" Target="styles.xml"/><Relationship Id="rId7" Type="http://schemas.openxmlformats.org/officeDocument/2006/relationships/hyperlink" Target="https://www.dof.gob.mx/nota_detalle.php?codigo=5490303&amp;fecha=14/07/20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traloria.zapopan.gob.mx/declarazap/ingresar.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of.gob.mx/nota_detalle.php?codigo=5582735&amp;fecha=24/12/2019" TargetMode="External"/><Relationship Id="rId4" Type="http://schemas.openxmlformats.org/officeDocument/2006/relationships/settings" Target="settings.xml"/><Relationship Id="rId9" Type="http://schemas.openxmlformats.org/officeDocument/2006/relationships/hyperlink" Target="https://www.dof.gob.mx/nota_detalle.php?codigo=5573194&amp;fecha=23/09/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9833-3117-4E60-AF28-50D5B5DF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Ficha_Tecnica_3de3_2017</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Ficha_Tecnica_3de3_2017</dc:title>
  <dc:creator>racevesr</dc:creator>
  <cp:lastModifiedBy>Rocio Aceves</cp:lastModifiedBy>
  <cp:revision>4</cp:revision>
  <dcterms:created xsi:type="dcterms:W3CDTF">2020-07-31T19:04:00Z</dcterms:created>
  <dcterms:modified xsi:type="dcterms:W3CDTF">2020-08-15T00:06:00Z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PDFCreator 2.1.1.0</vt:lpwstr>
  </property>
  <property fmtid="{D5CDD505-2E9C-101B-9397-08002B2CF9AE}" pid="4" name="LastSaved">
    <vt:filetime>2020-07-10T00:00:00Z</vt:filetime>
  </property>
</Properties>
</file>