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34" w:rsidRPr="00151734" w:rsidRDefault="00151734" w:rsidP="00921D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1734">
        <w:rPr>
          <w:rFonts w:ascii="Arial" w:hAnsi="Arial" w:cs="Arial"/>
          <w:b/>
          <w:sz w:val="24"/>
          <w:szCs w:val="24"/>
        </w:rPr>
        <w:t xml:space="preserve">IV. INFORME DE LOS AVANCES EN EL CUMPLIMIENTO DE LOS OBJETIVOS Y METAS DE DESARROLLO ESTABLECIDAS EN EL PLAN MUNICIPAL </w:t>
      </w:r>
      <w:r w:rsidR="007E6A71">
        <w:rPr>
          <w:rFonts w:ascii="Arial" w:hAnsi="Arial" w:cs="Arial"/>
          <w:b/>
          <w:sz w:val="24"/>
          <w:szCs w:val="24"/>
        </w:rPr>
        <w:t xml:space="preserve">DE DESARROLLO Y GOBERNANZA </w:t>
      </w:r>
      <w:r w:rsidRPr="00151734">
        <w:rPr>
          <w:rFonts w:ascii="Arial" w:hAnsi="Arial" w:cs="Arial"/>
          <w:b/>
          <w:sz w:val="24"/>
          <w:szCs w:val="24"/>
        </w:rPr>
        <w:t>Y DE CADA UNA DE LAS MATRICES DE INDICADORES PARA RESU</w:t>
      </w:r>
      <w:r w:rsidR="00503E19">
        <w:rPr>
          <w:rFonts w:ascii="Arial" w:hAnsi="Arial" w:cs="Arial"/>
          <w:b/>
          <w:sz w:val="24"/>
          <w:szCs w:val="24"/>
        </w:rPr>
        <w:t>LTADOS APLICADOS DURANTE EL 2020.</w:t>
      </w:r>
    </w:p>
    <w:p w:rsidR="001E6660" w:rsidRDefault="00151734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octubre del </w:t>
      </w:r>
      <w:r w:rsidR="00EE72A7">
        <w:rPr>
          <w:rFonts w:ascii="Arial" w:hAnsi="Arial" w:cs="Arial"/>
          <w:sz w:val="24"/>
          <w:szCs w:val="24"/>
        </w:rPr>
        <w:t>2015</w:t>
      </w:r>
      <w:r w:rsidR="00216D0E">
        <w:rPr>
          <w:rFonts w:ascii="Arial" w:hAnsi="Arial" w:cs="Arial"/>
          <w:sz w:val="24"/>
          <w:szCs w:val="24"/>
        </w:rPr>
        <w:t xml:space="preserve">, y conforme a lo dispuesto en la Ley Federal de Presupuesto y Responsabilidad Hacendaria (LGPRH) emitida el 30 de marzo de 2006, se inició la definición e implantación gradual del </w:t>
      </w:r>
      <w:proofErr w:type="spellStart"/>
      <w:r w:rsidR="00216D0E">
        <w:rPr>
          <w:rFonts w:ascii="Arial" w:hAnsi="Arial" w:cs="Arial"/>
          <w:sz w:val="24"/>
          <w:szCs w:val="24"/>
        </w:rPr>
        <w:t>PbR</w:t>
      </w:r>
      <w:proofErr w:type="spellEnd"/>
      <w:r w:rsidR="00216D0E">
        <w:rPr>
          <w:rFonts w:ascii="Arial" w:hAnsi="Arial" w:cs="Arial"/>
          <w:sz w:val="24"/>
          <w:szCs w:val="24"/>
        </w:rPr>
        <w:t>-SED con el objetivo de entregar mejores bienes y servicios públicos a la población, eleva</w:t>
      </w:r>
      <w:r w:rsidR="001D4080">
        <w:rPr>
          <w:rFonts w:ascii="Arial" w:hAnsi="Arial" w:cs="Arial"/>
          <w:sz w:val="24"/>
          <w:szCs w:val="24"/>
        </w:rPr>
        <w:t>r la calidad del gasto público</w:t>
      </w:r>
      <w:r w:rsidR="00216D0E">
        <w:rPr>
          <w:rFonts w:ascii="Arial" w:hAnsi="Arial" w:cs="Arial"/>
          <w:sz w:val="24"/>
          <w:szCs w:val="24"/>
        </w:rPr>
        <w:t>, y promover una</w:t>
      </w:r>
      <w:r w:rsidR="001D4080">
        <w:rPr>
          <w:rFonts w:ascii="Arial" w:hAnsi="Arial" w:cs="Arial"/>
          <w:sz w:val="24"/>
          <w:szCs w:val="24"/>
        </w:rPr>
        <w:t xml:space="preserve"> adecuada rendición de cuentas </w:t>
      </w:r>
      <w:r w:rsidR="00216D0E">
        <w:rPr>
          <w:rFonts w:ascii="Arial" w:hAnsi="Arial" w:cs="Arial"/>
          <w:sz w:val="24"/>
          <w:szCs w:val="24"/>
        </w:rPr>
        <w:t>para impulsar el desarrollo nacional.</w:t>
      </w:r>
    </w:p>
    <w:p w:rsidR="00216D0E" w:rsidRDefault="00216D0E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lo señalado en el Transitorio Sexto del Decreto mediante el cual se expidió la LFPRH</w:t>
      </w:r>
      <w:r w:rsidR="00040BCC">
        <w:rPr>
          <w:rFonts w:ascii="Arial" w:hAnsi="Arial" w:cs="Arial"/>
          <w:sz w:val="24"/>
          <w:szCs w:val="24"/>
        </w:rPr>
        <w:t xml:space="preserve">, la implantación del SED concluyó en el ejercicio fiscal 2008; a </w:t>
      </w:r>
      <w:r w:rsidR="007D3D64">
        <w:rPr>
          <w:rFonts w:ascii="Arial" w:hAnsi="Arial" w:cs="Arial"/>
          <w:sz w:val="24"/>
          <w:szCs w:val="24"/>
        </w:rPr>
        <w:t>partir del ejercicio fiscal 2016</w:t>
      </w:r>
      <w:r w:rsidR="00040BCC">
        <w:rPr>
          <w:rFonts w:ascii="Arial" w:hAnsi="Arial" w:cs="Arial"/>
          <w:sz w:val="24"/>
          <w:szCs w:val="24"/>
        </w:rPr>
        <w:t xml:space="preserve"> ha ido consolidando su operación como un proceso de mejora continua.</w:t>
      </w:r>
    </w:p>
    <w:p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tener como premisa un presupuesto con enfoque en el logro de resultados, los entes públicos establecen puntualmente los objetivos que se alcanzarán con los recursos asignados a </w:t>
      </w:r>
      <w:r w:rsidR="007E6A71">
        <w:rPr>
          <w:rFonts w:ascii="Arial" w:hAnsi="Arial" w:cs="Arial"/>
          <w:sz w:val="24"/>
          <w:szCs w:val="24"/>
        </w:rPr>
        <w:t xml:space="preserve">sus programas, y el grado de cumplimiento </w:t>
      </w:r>
      <w:r>
        <w:rPr>
          <w:rFonts w:ascii="Arial" w:hAnsi="Arial" w:cs="Arial"/>
          <w:sz w:val="24"/>
          <w:szCs w:val="24"/>
        </w:rPr>
        <w:t>de los mismos es valorado mediante el SED.</w:t>
      </w:r>
    </w:p>
    <w:p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SED es un componente clave del </w:t>
      </w:r>
      <w:proofErr w:type="spellStart"/>
      <w:r>
        <w:rPr>
          <w:rFonts w:ascii="Arial" w:hAnsi="Arial" w:cs="Arial"/>
          <w:sz w:val="24"/>
          <w:szCs w:val="24"/>
        </w:rPr>
        <w:t>PbR</w:t>
      </w:r>
      <w:proofErr w:type="spellEnd"/>
      <w:r>
        <w:rPr>
          <w:rFonts w:ascii="Arial" w:hAnsi="Arial" w:cs="Arial"/>
          <w:sz w:val="24"/>
          <w:szCs w:val="24"/>
        </w:rPr>
        <w:t>, y se define como “el conjunto de elementos metodológicos que permiten realizar una valoración objetiva del desempeño de los programas, bajo los principios de verificación del grado de cumplimiento de metas y objetivos, con base en indicadores estratégicos y de gestión que permitan conocer el impacto social de los programas y de los proyectos”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5F7AF5">
        <w:rPr>
          <w:rFonts w:ascii="Arial" w:hAnsi="Arial" w:cs="Arial"/>
          <w:sz w:val="24"/>
          <w:szCs w:val="24"/>
        </w:rPr>
        <w:t>.</w:t>
      </w:r>
    </w:p>
    <w:p w:rsidR="00921D77" w:rsidRDefault="00921D77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PbR</w:t>
      </w:r>
      <w:proofErr w:type="spellEnd"/>
      <w:r>
        <w:rPr>
          <w:rFonts w:ascii="Arial" w:hAnsi="Arial" w:cs="Arial"/>
          <w:sz w:val="24"/>
          <w:szCs w:val="24"/>
        </w:rPr>
        <w:t xml:space="preserve"> se enmarca en la estrategia de Gestión para Resultados (</w:t>
      </w:r>
      <w:proofErr w:type="spellStart"/>
      <w:r>
        <w:rPr>
          <w:rFonts w:ascii="Arial" w:hAnsi="Arial" w:cs="Arial"/>
          <w:sz w:val="24"/>
          <w:szCs w:val="24"/>
        </w:rPr>
        <w:t>GpR</w:t>
      </w:r>
      <w:proofErr w:type="spellEnd"/>
      <w:r>
        <w:rPr>
          <w:rFonts w:ascii="Arial" w:hAnsi="Arial" w:cs="Arial"/>
          <w:sz w:val="24"/>
          <w:szCs w:val="24"/>
        </w:rPr>
        <w:t xml:space="preserve">), un modelo de cultura organizacional y de desempeño institucional, cuyo objetivo es generar capacidad en las </w:t>
      </w:r>
      <w:r w:rsidR="00EE72A7">
        <w:rPr>
          <w:rFonts w:ascii="Arial" w:hAnsi="Arial" w:cs="Arial"/>
          <w:sz w:val="24"/>
          <w:szCs w:val="24"/>
        </w:rPr>
        <w:t>organizaciones públicas para que logren los resultados establecidos en los objetivos del Plan Municipal de Desarrollo (PMD) y de los programas derivados del mismo.</w:t>
      </w:r>
    </w:p>
    <w:p w:rsidR="007944EC" w:rsidRPr="0046334B" w:rsidRDefault="007944E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2016, durante el proceso de elaboración del Proyecto de Presupuesto de Egresos, para el ejercicio fiscal del año siguiente, se tomaron medidas concretas enfocadas a la implantación del </w:t>
      </w:r>
      <w:proofErr w:type="spellStart"/>
      <w:r>
        <w:rPr>
          <w:rFonts w:ascii="Arial" w:hAnsi="Arial" w:cs="Arial"/>
          <w:sz w:val="24"/>
          <w:szCs w:val="24"/>
        </w:rPr>
        <w:t>PbR</w:t>
      </w:r>
      <w:proofErr w:type="spellEnd"/>
      <w:r>
        <w:rPr>
          <w:rFonts w:ascii="Arial" w:hAnsi="Arial" w:cs="Arial"/>
          <w:sz w:val="24"/>
          <w:szCs w:val="24"/>
        </w:rPr>
        <w:t>-SED, tales como la creación de una plataforma programática funcional y el establecimiento de criterios generales de operación de los</w:t>
      </w:r>
      <w:r w:rsidR="00DB1C3F">
        <w:rPr>
          <w:rFonts w:ascii="Arial" w:hAnsi="Arial" w:cs="Arial"/>
          <w:sz w:val="24"/>
          <w:szCs w:val="24"/>
        </w:rPr>
        <w:t xml:space="preserve"> Programas Presupuestarios (</w:t>
      </w:r>
      <w:proofErr w:type="spellStart"/>
      <w:r w:rsidR="00DB1C3F">
        <w:rPr>
          <w:rFonts w:ascii="Arial" w:hAnsi="Arial" w:cs="Arial"/>
          <w:sz w:val="24"/>
          <w:szCs w:val="24"/>
        </w:rPr>
        <w:t>Pp</w:t>
      </w:r>
      <w:proofErr w:type="spellEnd"/>
      <w:r w:rsidR="00DB1C3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se definió la instrumentación de un Programa Anual de Evaluación (PAE), para facilitar los procesos relativos a la orientación de los programas y proyectos hacia el logro de resultados, a través del instrumento de planeación estratégica denominado Matriz de Indicadores para Resultados (MIR); y la realización de talleres de divulgación de la iniciativa </w:t>
      </w:r>
      <w:proofErr w:type="spellStart"/>
      <w:r>
        <w:rPr>
          <w:rFonts w:ascii="Arial" w:hAnsi="Arial" w:cs="Arial"/>
          <w:sz w:val="24"/>
          <w:szCs w:val="24"/>
        </w:rPr>
        <w:t>PbR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46334B">
        <w:rPr>
          <w:rFonts w:ascii="Arial" w:hAnsi="Arial" w:cs="Arial"/>
          <w:sz w:val="24"/>
          <w:szCs w:val="24"/>
        </w:rPr>
        <w:t>SED.</w:t>
      </w:r>
    </w:p>
    <w:p w:rsidR="007944EC" w:rsidRPr="0046334B" w:rsidRDefault="007944E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34B">
        <w:rPr>
          <w:rFonts w:ascii="Arial" w:hAnsi="Arial" w:cs="Arial"/>
          <w:sz w:val="24"/>
          <w:szCs w:val="24"/>
        </w:rPr>
        <w:t>Como resultado de estas accion</w:t>
      </w:r>
      <w:r w:rsidR="00356747" w:rsidRPr="0046334B">
        <w:rPr>
          <w:rFonts w:ascii="Arial" w:hAnsi="Arial" w:cs="Arial"/>
          <w:sz w:val="24"/>
          <w:szCs w:val="24"/>
        </w:rPr>
        <w:t xml:space="preserve">es, el </w:t>
      </w:r>
      <w:proofErr w:type="spellStart"/>
      <w:r w:rsidR="00356747" w:rsidRPr="0046334B">
        <w:rPr>
          <w:rFonts w:ascii="Arial" w:hAnsi="Arial" w:cs="Arial"/>
          <w:sz w:val="24"/>
          <w:szCs w:val="24"/>
        </w:rPr>
        <w:t>PbR</w:t>
      </w:r>
      <w:proofErr w:type="spellEnd"/>
      <w:r w:rsidR="00356747" w:rsidRPr="0046334B">
        <w:rPr>
          <w:rFonts w:ascii="Arial" w:hAnsi="Arial" w:cs="Arial"/>
          <w:sz w:val="24"/>
          <w:szCs w:val="24"/>
        </w:rPr>
        <w:t xml:space="preserve">-SED quedó diseñada la herramienta en una primera fase </w:t>
      </w:r>
      <w:r w:rsidRPr="0046334B">
        <w:rPr>
          <w:rFonts w:ascii="Arial" w:hAnsi="Arial" w:cs="Arial"/>
          <w:sz w:val="24"/>
          <w:szCs w:val="24"/>
        </w:rPr>
        <w:t>hacia f</w:t>
      </w:r>
      <w:r w:rsidR="0015708D" w:rsidRPr="0046334B">
        <w:rPr>
          <w:rFonts w:ascii="Arial" w:hAnsi="Arial" w:cs="Arial"/>
          <w:sz w:val="24"/>
          <w:szCs w:val="24"/>
        </w:rPr>
        <w:t>ines d</w:t>
      </w:r>
      <w:r w:rsidR="00356747" w:rsidRPr="0046334B">
        <w:rPr>
          <w:rFonts w:ascii="Arial" w:hAnsi="Arial" w:cs="Arial"/>
          <w:sz w:val="24"/>
          <w:szCs w:val="24"/>
        </w:rPr>
        <w:t xml:space="preserve">e 2015 para iniciar en el presupuesto 2016 en la mayor parte de la administración de Zapopan para dicho año. </w:t>
      </w:r>
    </w:p>
    <w:p w:rsidR="0015708D" w:rsidRDefault="006168AA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34B">
        <w:rPr>
          <w:rFonts w:ascii="Arial" w:hAnsi="Arial" w:cs="Arial"/>
          <w:sz w:val="24"/>
          <w:szCs w:val="24"/>
        </w:rPr>
        <w:t>C</w:t>
      </w:r>
      <w:r w:rsidR="0015708D" w:rsidRPr="0046334B">
        <w:rPr>
          <w:rFonts w:ascii="Arial" w:hAnsi="Arial" w:cs="Arial"/>
          <w:sz w:val="24"/>
          <w:szCs w:val="24"/>
        </w:rPr>
        <w:t>onsiderando que la Ley General de Con</w:t>
      </w:r>
      <w:r w:rsidR="00356747" w:rsidRPr="0046334B">
        <w:rPr>
          <w:rFonts w:ascii="Arial" w:hAnsi="Arial" w:cs="Arial"/>
          <w:sz w:val="24"/>
          <w:szCs w:val="24"/>
        </w:rPr>
        <w:t xml:space="preserve">tabilidad Gubernamental </w:t>
      </w:r>
      <w:r w:rsidR="0015708D" w:rsidRPr="0046334B">
        <w:rPr>
          <w:rFonts w:ascii="Arial" w:hAnsi="Arial" w:cs="Arial"/>
          <w:sz w:val="24"/>
          <w:szCs w:val="24"/>
        </w:rPr>
        <w:t>(LGCG) emitida en el 2008, establece los criterios generales que rigen la contabilidad gubernamental y, sobre todo, la emisión de los entes públicos para lograr su adecuada armonización, instalándose</w:t>
      </w:r>
      <w:r w:rsidR="0015708D">
        <w:rPr>
          <w:rFonts w:ascii="Arial" w:hAnsi="Arial" w:cs="Arial"/>
          <w:sz w:val="24"/>
          <w:szCs w:val="24"/>
        </w:rPr>
        <w:t xml:space="preserve"> el Consejo Nacional de Armonización Contable (CONAC), órgano técnico encargado de la coordinación para la armonización de la contabilidad gubernamental, y facultado para emitir disposiciones en la materia.</w:t>
      </w:r>
    </w:p>
    <w:p w:rsidR="0015708D" w:rsidRPr="0046334B" w:rsidRDefault="0015708D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CONAC ha sido un factor fundamental en la implementación del modelo PBR-SED, con la emisión de normas y lineamientos que no solamente regulan los momentos contables del ejercicio del pres</w:t>
      </w:r>
      <w:r w:rsidR="007820E1">
        <w:rPr>
          <w:rFonts w:ascii="Arial" w:hAnsi="Arial" w:cs="Arial"/>
          <w:sz w:val="24"/>
          <w:szCs w:val="24"/>
        </w:rPr>
        <w:t>upuesto, sino que también ha</w:t>
      </w:r>
      <w:r>
        <w:rPr>
          <w:rFonts w:ascii="Arial" w:hAnsi="Arial" w:cs="Arial"/>
          <w:sz w:val="24"/>
          <w:szCs w:val="24"/>
        </w:rPr>
        <w:t xml:space="preserve"> establecido criterios generales para la clasificación de los </w:t>
      </w:r>
      <w:r w:rsidR="000C107E">
        <w:rPr>
          <w:rFonts w:ascii="Arial" w:hAnsi="Arial" w:cs="Arial"/>
          <w:sz w:val="24"/>
          <w:szCs w:val="24"/>
        </w:rPr>
        <w:t xml:space="preserve">programas de los entes públicos, que permite organizar, en forma representativa y homogénea, las </w:t>
      </w:r>
      <w:r w:rsidR="000C107E" w:rsidRPr="0046334B">
        <w:rPr>
          <w:rFonts w:ascii="Arial" w:hAnsi="Arial" w:cs="Arial"/>
          <w:sz w:val="24"/>
          <w:szCs w:val="24"/>
        </w:rPr>
        <w:t xml:space="preserve">asignaciones de </w:t>
      </w:r>
      <w:r w:rsidR="000C107E" w:rsidRPr="0046334B">
        <w:rPr>
          <w:rFonts w:ascii="Arial" w:hAnsi="Arial" w:cs="Arial"/>
          <w:sz w:val="24"/>
          <w:szCs w:val="24"/>
        </w:rPr>
        <w:lastRenderedPageBreak/>
        <w:t>recursos de los Programas, así como la armonización de la estructura de las cuentas públicas, entre otros.</w:t>
      </w:r>
    </w:p>
    <w:p w:rsidR="006C7BCB" w:rsidRDefault="00DA78F4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34B">
        <w:rPr>
          <w:rFonts w:ascii="Arial" w:hAnsi="Arial" w:cs="Arial"/>
          <w:sz w:val="24"/>
          <w:szCs w:val="24"/>
        </w:rPr>
        <w:t>En el sentido de la implementación de un sistema de programación para el seguimiento de los programas presupuestarios del muni</w:t>
      </w:r>
      <w:r w:rsidR="00356747" w:rsidRPr="0046334B">
        <w:rPr>
          <w:rFonts w:ascii="Arial" w:hAnsi="Arial" w:cs="Arial"/>
          <w:sz w:val="24"/>
          <w:szCs w:val="24"/>
        </w:rPr>
        <w:t>cipio de Zapopan, en el año 2017</w:t>
      </w:r>
      <w:r w:rsidRPr="0046334B">
        <w:rPr>
          <w:rFonts w:ascii="Arial" w:hAnsi="Arial" w:cs="Arial"/>
          <w:sz w:val="24"/>
          <w:szCs w:val="24"/>
        </w:rPr>
        <w:t xml:space="preserve"> se implementó el Sistema de Indicadores para la Evaluación del Desempeño de los 35 programas pre</w:t>
      </w:r>
      <w:r w:rsidR="0046334B" w:rsidRPr="0046334B">
        <w:rPr>
          <w:rFonts w:ascii="Arial" w:hAnsi="Arial" w:cs="Arial"/>
          <w:sz w:val="24"/>
          <w:szCs w:val="24"/>
        </w:rPr>
        <w:t xml:space="preserve">supuestarios, </w:t>
      </w:r>
      <w:r w:rsidR="00964412" w:rsidRPr="0046334B">
        <w:rPr>
          <w:rFonts w:ascii="Arial" w:hAnsi="Arial" w:cs="Arial"/>
          <w:sz w:val="24"/>
          <w:szCs w:val="24"/>
        </w:rPr>
        <w:t xml:space="preserve"> en relación al cumplimiento de objetivos y metas de desarrollo establecidas en el Plan Muni</w:t>
      </w:r>
      <w:r w:rsidR="0046334B" w:rsidRPr="0046334B">
        <w:rPr>
          <w:rFonts w:ascii="Arial" w:hAnsi="Arial" w:cs="Arial"/>
          <w:sz w:val="24"/>
          <w:szCs w:val="24"/>
        </w:rPr>
        <w:t>cipal de Desarrollo 2015-2018</w:t>
      </w:r>
      <w:r w:rsidR="005F7AF5">
        <w:rPr>
          <w:rFonts w:ascii="Arial" w:hAnsi="Arial" w:cs="Arial"/>
          <w:sz w:val="24"/>
          <w:szCs w:val="24"/>
        </w:rPr>
        <w:t xml:space="preserve"> y</w:t>
      </w:r>
      <w:r w:rsidR="00964412" w:rsidRPr="0046334B">
        <w:rPr>
          <w:rFonts w:ascii="Arial" w:hAnsi="Arial" w:cs="Arial"/>
          <w:sz w:val="24"/>
          <w:szCs w:val="24"/>
        </w:rPr>
        <w:t xml:space="preserve"> de las matrices de indicadores para resultados.</w:t>
      </w:r>
    </w:p>
    <w:p w:rsidR="006C7BCB" w:rsidRDefault="00D65FF4" w:rsidP="00D65FF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Posteriormente en 2018, se consolidaron las Claves Presupuestales para darle mayor relevancia a l</w:t>
      </w:r>
      <w:r w:rsidR="00D558EB">
        <w:rPr>
          <w:rFonts w:ascii="Arial" w:hAnsi="Arial" w:cs="Arial"/>
          <w:sz w:val="24"/>
          <w:szCs w:val="24"/>
        </w:rPr>
        <w:t>os programas presupuestarios (</w:t>
      </w:r>
      <w:proofErr w:type="spellStart"/>
      <w:r w:rsidR="00D558EB">
        <w:rPr>
          <w:rFonts w:ascii="Arial" w:hAnsi="Arial" w:cs="Arial"/>
          <w:sz w:val="24"/>
          <w:szCs w:val="24"/>
        </w:rPr>
        <w:t>Pp</w:t>
      </w:r>
      <w:proofErr w:type="spellEnd"/>
      <w:r>
        <w:rPr>
          <w:rFonts w:ascii="Arial" w:hAnsi="Arial" w:cs="Arial"/>
          <w:sz w:val="24"/>
          <w:szCs w:val="24"/>
        </w:rPr>
        <w:t>) y la contabilidad gubern</w:t>
      </w:r>
      <w:r w:rsidR="005B7F06">
        <w:rPr>
          <w:rFonts w:ascii="Arial" w:hAnsi="Arial" w:cs="Arial"/>
          <w:sz w:val="24"/>
          <w:szCs w:val="24"/>
        </w:rPr>
        <w:t>amental. En la actualidad los 35</w:t>
      </w:r>
      <w:r w:rsidR="00D5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EB">
        <w:rPr>
          <w:rFonts w:ascii="Arial" w:hAnsi="Arial" w:cs="Arial"/>
          <w:sz w:val="24"/>
          <w:szCs w:val="24"/>
        </w:rPr>
        <w:t>Pp</w:t>
      </w:r>
      <w:proofErr w:type="spellEnd"/>
      <w:r>
        <w:rPr>
          <w:rFonts w:ascii="Arial" w:hAnsi="Arial" w:cs="Arial"/>
          <w:sz w:val="24"/>
          <w:szCs w:val="24"/>
        </w:rPr>
        <w:t>, tienen la finalidad de darle rumbo a la gestión pública</w:t>
      </w:r>
      <w:r w:rsidR="00D558EB">
        <w:rPr>
          <w:rFonts w:ascii="Arial" w:hAnsi="Arial" w:cs="Arial"/>
          <w:sz w:val="24"/>
          <w:szCs w:val="24"/>
        </w:rPr>
        <w:t xml:space="preserve"> municipal. A continuación se muestra</w:t>
      </w:r>
      <w:r>
        <w:rPr>
          <w:rFonts w:ascii="Arial" w:hAnsi="Arial" w:cs="Arial"/>
          <w:sz w:val="24"/>
          <w:szCs w:val="24"/>
        </w:rPr>
        <w:t xml:space="preserve"> el av</w:t>
      </w:r>
      <w:r w:rsidR="006C7BCB" w:rsidRPr="006C7B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ance </w:t>
      </w:r>
      <w:r w:rsidR="00D558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promedio al corte del tercer trimestre del ejercicio fiscal 2020, del cumplimiento de las metas y objetivos establecidos en cada uno de los ejes estratégicos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Plan Municipal de Desarrollo</w:t>
      </w:r>
      <w:r w:rsidR="00503E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Gobernanza</w:t>
      </w:r>
      <w:r w:rsidR="00D558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2018-2021, así como el avance promedio de los </w:t>
      </w:r>
      <w:r w:rsidR="009532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indicadores por </w:t>
      </w:r>
      <w:r w:rsidR="00D558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Pp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tbl>
      <w:tblPr>
        <w:tblW w:w="90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248"/>
      </w:tblGrid>
      <w:tr w:rsidR="0095329E" w:rsidRPr="0095329E" w:rsidTr="0095329E">
        <w:trPr>
          <w:trHeight w:val="330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AVANCES EN EL CUMPLIMIENTO DE LOS OBJETIVOS</w:t>
            </w:r>
          </w:p>
        </w:tc>
      </w:tr>
      <w:tr w:rsidR="0095329E" w:rsidRPr="0095329E" w:rsidTr="00205BFC">
        <w:trPr>
          <w:trHeight w:val="72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EJES ESTRATÉGICOS DEL  PLAN MUNICIPAL DE DESARROLLO Y GOBERNANZA 2018-2021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PROMEDIO DE % AVANCE</w:t>
            </w:r>
          </w:p>
        </w:tc>
      </w:tr>
      <w:tr w:rsidR="0095329E" w:rsidRPr="0095329E" w:rsidTr="00205BFC">
        <w:trPr>
          <w:trHeight w:val="81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SERVICIOS PÚBLICOS GENERADORES DE BIENESTAR.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79.38%</w:t>
            </w:r>
          </w:p>
        </w:tc>
      </w:tr>
      <w:tr w:rsidR="0095329E" w:rsidRPr="0095329E" w:rsidTr="0095329E">
        <w:trPr>
          <w:trHeight w:val="9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DESARROLLO TERRITORIAL SUSTENTABLE Y SINERGIA METROPOLITANA.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77%</w:t>
            </w:r>
          </w:p>
        </w:tc>
      </w:tr>
      <w:tr w:rsidR="0095329E" w:rsidRPr="0095329E" w:rsidTr="0095329E">
        <w:trPr>
          <w:trHeight w:val="9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SEGURIDAD PÚBLICA, PROTECCIÓN CIUDADANA Y GESTIÓN INTEGRAL DE RIESGOS DE DESASTRES.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78.75%</w:t>
            </w:r>
          </w:p>
        </w:tc>
      </w:tr>
      <w:tr w:rsidR="0095329E" w:rsidRPr="0095329E" w:rsidTr="0095329E">
        <w:trPr>
          <w:trHeight w:val="9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IMPULSO AL DESARROLLO PRODUCTIVO, LOS SERVICIOS TURÍSTICOS Y EL EMPLEO.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93.66%</w:t>
            </w:r>
          </w:p>
        </w:tc>
      </w:tr>
      <w:tr w:rsidR="0095329E" w:rsidRPr="0095329E" w:rsidTr="0095329E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GOBIERNO INNOVADOR Y DE RESULTADOS.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73.41%</w:t>
            </w:r>
          </w:p>
        </w:tc>
      </w:tr>
      <w:tr w:rsidR="0095329E" w:rsidRPr="0095329E" w:rsidTr="00205BFC">
        <w:trPr>
          <w:trHeight w:val="501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AVANCES EN EL CUMPLIMIENTO DE LOS OBJETIVOS</w:t>
            </w:r>
          </w:p>
        </w:tc>
      </w:tr>
      <w:tr w:rsidR="0095329E" w:rsidRPr="0095329E" w:rsidTr="00205BFC">
        <w:trPr>
          <w:trHeight w:val="53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PROGRAMA PRESUPUESTARIO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PROMEDIO DE % AVANCE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GESTIÓN GUBERNAMENTAL.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TRANSPARENCIA.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19%</w:t>
            </w:r>
          </w:p>
        </w:tc>
      </w:tr>
      <w:tr w:rsidR="0095329E" w:rsidRPr="0095329E" w:rsidTr="0095329E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APOYO A LA FUNCIÓN PÚBLICA Y AL MEJORAMIENTO DE LA GESTIÓN.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SEGURIDAD PÚBLICA.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PROCURACIÓN DE JUSTICIA.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CERTEZA JURÍDICA.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84%</w:t>
            </w:r>
          </w:p>
        </w:tc>
      </w:tr>
      <w:tr w:rsidR="0095329E" w:rsidRPr="0095329E" w:rsidTr="0095329E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EFICIENCIA GUBERNAMENTAL PARA LA POBLACIÓN.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5F7AF5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GESTIÓ</w:t>
            </w:r>
            <w:r w:rsidR="0095329E"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INTERNA EFICIENTE.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70%</w:t>
            </w:r>
          </w:p>
        </w:tc>
      </w:tr>
      <w:tr w:rsidR="0095329E" w:rsidRPr="0095329E" w:rsidTr="0095329E">
        <w:trPr>
          <w:trHeight w:val="9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GESTIÓN INTEGRAL DE RIESGO DE DESASTRE PARA EL MUNICIPIO DE ZAPOPAN.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79%</w:t>
            </w:r>
          </w:p>
        </w:tc>
      </w:tr>
      <w:tr w:rsidR="0095329E" w:rsidRPr="0095329E" w:rsidTr="0095329E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INSPECCIÓN DE LUGARES QUE REQUIEREN DE LICENCIA O PERMISO.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CATASTRO.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INGRESOS.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CONTABILIDAD Y EGRESOS.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84%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VIGILANCIA.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IMAGEN URBANA.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ESPACIOS PÚBLICOS.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79%</w:t>
            </w:r>
          </w:p>
        </w:tc>
      </w:tr>
      <w:tr w:rsidR="0095329E" w:rsidRPr="0095329E" w:rsidTr="0095329E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 SERVICIOS PÚBLICOS DE EXCELENCIA.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89%</w:t>
            </w:r>
          </w:p>
        </w:tc>
      </w:tr>
      <w:tr w:rsidR="0095329E" w:rsidRPr="0095329E" w:rsidTr="0095329E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 TECNOLOGÍAS DE LA INFORMACIÓN Y LA COMUNICACIÓN.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MANTENIMIENTO.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 ACCESO AL MERCADO LABORAL.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COMBATE A LA DESIGUALDAD.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TURISMO.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 EMPRENDEDORES.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 ZAPOPAN PRESENTE.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ORDENAMIENTO DEL TERRITORIO.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MOVILIDAD Y TRANSPORTE.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 MEDIO AMBIENTE.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OBRA PÚBLICA MUNICIPAL.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 MAZ ARTE ZAPOPAN.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89%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30 EDUCACIÓN ZAPOPAN.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 CULTURA PARA TODOS.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 PARTICIPACIÓN CIUDADANA.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 CIUDAD DE LOS NIÑOS.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84%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 DESARROLLO COMUNITARIO.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73%</w:t>
            </w:r>
          </w:p>
        </w:tc>
      </w:tr>
      <w:tr w:rsidR="0095329E" w:rsidRPr="0095329E" w:rsidTr="0095329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 INSTITUTO DE LA JUVENTUD.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29E" w:rsidRPr="0095329E" w:rsidRDefault="0095329E" w:rsidP="0095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53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52%</w:t>
            </w:r>
          </w:p>
        </w:tc>
      </w:tr>
    </w:tbl>
    <w:p w:rsidR="00FA1F2F" w:rsidRPr="00205BFC" w:rsidRDefault="00205BFC" w:rsidP="00205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205BFC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Nota: Avances promedio calculados con base en los datos disponibles al corte del tercer trimestre del ejercicio fiscal 2020.</w:t>
      </w:r>
      <w:bookmarkStart w:id="0" w:name="_GoBack"/>
      <w:bookmarkEnd w:id="0"/>
    </w:p>
    <w:sectPr w:rsidR="00FA1F2F" w:rsidRPr="00205BF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4B2" w:rsidRDefault="002724B2" w:rsidP="006C1C8F">
      <w:pPr>
        <w:spacing w:after="0" w:line="240" w:lineRule="auto"/>
      </w:pPr>
      <w:r>
        <w:separator/>
      </w:r>
    </w:p>
  </w:endnote>
  <w:endnote w:type="continuationSeparator" w:id="0">
    <w:p w:rsidR="002724B2" w:rsidRDefault="002724B2" w:rsidP="006C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9091054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3806" w:rsidRPr="00A93806" w:rsidRDefault="00A93806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06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53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3806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53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06" w:rsidRDefault="00A938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4B2" w:rsidRDefault="002724B2" w:rsidP="006C1C8F">
      <w:pPr>
        <w:spacing w:after="0" w:line="240" w:lineRule="auto"/>
      </w:pPr>
      <w:r>
        <w:separator/>
      </w:r>
    </w:p>
  </w:footnote>
  <w:footnote w:type="continuationSeparator" w:id="0">
    <w:p w:rsidR="002724B2" w:rsidRDefault="002724B2" w:rsidP="006C1C8F">
      <w:pPr>
        <w:spacing w:after="0" w:line="240" w:lineRule="auto"/>
      </w:pPr>
      <w:r>
        <w:continuationSeparator/>
      </w:r>
    </w:p>
  </w:footnote>
  <w:footnote w:id="1">
    <w:p w:rsidR="00040BCC" w:rsidRPr="00A93806" w:rsidRDefault="00040BCC" w:rsidP="00A93806">
      <w:pPr>
        <w:pStyle w:val="Textonotapie"/>
        <w:jc w:val="both"/>
        <w:rPr>
          <w:rFonts w:ascii="Arial" w:hAnsi="Arial" w:cs="Arial"/>
        </w:rPr>
      </w:pPr>
      <w:r w:rsidRPr="00A93806">
        <w:rPr>
          <w:rStyle w:val="Refdenotaalpie"/>
          <w:rFonts w:ascii="Arial" w:hAnsi="Arial" w:cs="Arial"/>
        </w:rPr>
        <w:footnoteRef/>
      </w:r>
      <w:r w:rsidRPr="00A93806">
        <w:rPr>
          <w:rFonts w:ascii="Arial" w:hAnsi="Arial" w:cs="Arial"/>
        </w:rPr>
        <w:t xml:space="preserve"> El Sistema de Evaluación del Desempeño se encuentra definido en el ar</w:t>
      </w:r>
      <w:r w:rsidR="00F309BE">
        <w:rPr>
          <w:rFonts w:ascii="Arial" w:hAnsi="Arial" w:cs="Arial"/>
        </w:rPr>
        <w:t>tículo 2, fracción LI de la Ley</w:t>
      </w:r>
      <w:r w:rsidR="00ED1800">
        <w:rPr>
          <w:rFonts w:ascii="Arial" w:hAnsi="Arial" w:cs="Arial"/>
        </w:rPr>
        <w:t xml:space="preserve"> </w:t>
      </w:r>
      <w:r w:rsidRPr="00A93806">
        <w:rPr>
          <w:rFonts w:ascii="Arial" w:hAnsi="Arial" w:cs="Arial"/>
        </w:rPr>
        <w:t>Federal de Presupuesto y Responsabilidad Hacendaria, y referido en el artículo 111 de dicha Ley.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19" w:rsidRPr="005A2134" w:rsidRDefault="00503E19" w:rsidP="00503E19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1729FA2" wp14:editId="3562F6E0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134">
      <w:rPr>
        <w:rFonts w:ascii="Arial" w:hAnsi="Arial" w:cs="Arial"/>
        <w:sz w:val="20"/>
      </w:rPr>
      <w:t>PROYECTO DE PRESUPUESTO DE EGRESOS 2021</w:t>
    </w:r>
  </w:p>
  <w:p w:rsidR="00D37802" w:rsidRDefault="00D37802" w:rsidP="006C1C8F">
    <w:pPr>
      <w:pStyle w:val="Encabezado"/>
      <w:jc w:val="center"/>
    </w:pPr>
  </w:p>
  <w:p w:rsidR="006C1C8F" w:rsidRDefault="006C1C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DAA"/>
    <w:multiLevelType w:val="multilevel"/>
    <w:tmpl w:val="59268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36C32"/>
    <w:multiLevelType w:val="multilevel"/>
    <w:tmpl w:val="F9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F"/>
    <w:rsid w:val="00040BCC"/>
    <w:rsid w:val="00055CEB"/>
    <w:rsid w:val="000C107E"/>
    <w:rsid w:val="000D64B0"/>
    <w:rsid w:val="000E7217"/>
    <w:rsid w:val="00145101"/>
    <w:rsid w:val="00151734"/>
    <w:rsid w:val="0015708D"/>
    <w:rsid w:val="001D4080"/>
    <w:rsid w:val="001E6660"/>
    <w:rsid w:val="001F33A4"/>
    <w:rsid w:val="00205BFC"/>
    <w:rsid w:val="00216D0E"/>
    <w:rsid w:val="002724B2"/>
    <w:rsid w:val="00356747"/>
    <w:rsid w:val="0046334B"/>
    <w:rsid w:val="004C2A75"/>
    <w:rsid w:val="00503E19"/>
    <w:rsid w:val="005148E4"/>
    <w:rsid w:val="00596669"/>
    <w:rsid w:val="005A4983"/>
    <w:rsid w:val="005B7F06"/>
    <w:rsid w:val="005F4B81"/>
    <w:rsid w:val="005F7AF5"/>
    <w:rsid w:val="006168AA"/>
    <w:rsid w:val="00697D63"/>
    <w:rsid w:val="006C1C8F"/>
    <w:rsid w:val="006C7BCB"/>
    <w:rsid w:val="00703234"/>
    <w:rsid w:val="0071070D"/>
    <w:rsid w:val="007139E6"/>
    <w:rsid w:val="007820E1"/>
    <w:rsid w:val="007944EC"/>
    <w:rsid w:val="007D3D64"/>
    <w:rsid w:val="007E6A71"/>
    <w:rsid w:val="00810C4E"/>
    <w:rsid w:val="00811A55"/>
    <w:rsid w:val="00860E1D"/>
    <w:rsid w:val="008D10D3"/>
    <w:rsid w:val="008F2E93"/>
    <w:rsid w:val="00921D77"/>
    <w:rsid w:val="00922FF0"/>
    <w:rsid w:val="00931125"/>
    <w:rsid w:val="009453E1"/>
    <w:rsid w:val="0095329E"/>
    <w:rsid w:val="00964412"/>
    <w:rsid w:val="00994827"/>
    <w:rsid w:val="009E2C1E"/>
    <w:rsid w:val="009E7EB8"/>
    <w:rsid w:val="00A05855"/>
    <w:rsid w:val="00A20935"/>
    <w:rsid w:val="00A91090"/>
    <w:rsid w:val="00A93806"/>
    <w:rsid w:val="00B50960"/>
    <w:rsid w:val="00B97E6D"/>
    <w:rsid w:val="00D37802"/>
    <w:rsid w:val="00D558EB"/>
    <w:rsid w:val="00D65FF4"/>
    <w:rsid w:val="00DA78F4"/>
    <w:rsid w:val="00DB1C3F"/>
    <w:rsid w:val="00DC3A88"/>
    <w:rsid w:val="00DF2987"/>
    <w:rsid w:val="00EB0C0A"/>
    <w:rsid w:val="00ED1800"/>
    <w:rsid w:val="00EE72A7"/>
    <w:rsid w:val="00F309BE"/>
    <w:rsid w:val="00FA1F2F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13E80-BC92-4B84-858D-2300E490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8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40B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C8F"/>
  </w:style>
  <w:style w:type="paragraph" w:styleId="Piedepgina">
    <w:name w:val="footer"/>
    <w:basedOn w:val="Normal"/>
    <w:link w:val="PiedepginaCar"/>
    <w:uiPriority w:val="99"/>
    <w:unhideWhenUsed/>
    <w:rsid w:val="006C1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C8F"/>
  </w:style>
  <w:style w:type="character" w:customStyle="1" w:styleId="Ttulo1Car">
    <w:name w:val="Título 1 Car"/>
    <w:basedOn w:val="Fuentedeprrafopredeter"/>
    <w:link w:val="Ttulo1"/>
    <w:uiPriority w:val="9"/>
    <w:rsid w:val="00040B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0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0B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0BC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EDB5-9798-4115-B9DE-96574437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1031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Luis Andres Sanchez Flores</cp:lastModifiedBy>
  <cp:revision>10</cp:revision>
  <cp:lastPrinted>2020-11-10T22:46:00Z</cp:lastPrinted>
  <dcterms:created xsi:type="dcterms:W3CDTF">2019-11-19T18:03:00Z</dcterms:created>
  <dcterms:modified xsi:type="dcterms:W3CDTF">2020-11-10T22:46:00Z</dcterms:modified>
</cp:coreProperties>
</file>