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2"/>
      </w:tblGrid>
      <w:tr w:rsidR="000E761D" w:rsidRPr="00C51B6B" w:rsidTr="009E2155">
        <w:trPr>
          <w:trHeight w:val="956"/>
        </w:trPr>
        <w:tc>
          <w:tcPr>
            <w:tcW w:w="8992" w:type="dxa"/>
          </w:tcPr>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MUNICIPIO ZAPOPAN</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NOTAS A LOS ESTADOS FINANCIEROS</w:t>
            </w:r>
          </w:p>
          <w:p w:rsidR="00545E1E" w:rsidRPr="00C51B6B" w:rsidRDefault="00545E1E" w:rsidP="00545E1E">
            <w:pPr>
              <w:spacing w:after="0" w:line="240" w:lineRule="auto"/>
              <w:jc w:val="center"/>
              <w:rPr>
                <w:rFonts w:ascii="Times New Roman" w:hAnsi="Times New Roman"/>
                <w:b/>
                <w:sz w:val="20"/>
                <w:szCs w:val="20"/>
              </w:rPr>
            </w:pPr>
            <w:r w:rsidRPr="00C51B6B">
              <w:rPr>
                <w:rFonts w:ascii="Times New Roman" w:hAnsi="Times New Roman"/>
                <w:b/>
                <w:sz w:val="20"/>
                <w:szCs w:val="20"/>
              </w:rPr>
              <w:t>DE DESGLOSE</w:t>
            </w:r>
          </w:p>
          <w:p w:rsidR="00D6054C" w:rsidRPr="00C51B6B" w:rsidRDefault="00545E1E" w:rsidP="006323FB">
            <w:pPr>
              <w:spacing w:after="0" w:line="240" w:lineRule="auto"/>
              <w:jc w:val="center"/>
              <w:rPr>
                <w:rFonts w:ascii="Times New Roman" w:hAnsi="Times New Roman"/>
                <w:b/>
                <w:i/>
                <w:sz w:val="20"/>
                <w:szCs w:val="20"/>
              </w:rPr>
            </w:pPr>
            <w:bookmarkStart w:id="0" w:name="periodo"/>
            <w:bookmarkEnd w:id="0"/>
            <w:r w:rsidRPr="00C51B6B">
              <w:rPr>
                <w:rFonts w:ascii="Times New Roman" w:hAnsi="Times New Roman"/>
                <w:b/>
                <w:sz w:val="20"/>
                <w:szCs w:val="20"/>
              </w:rPr>
              <w:t xml:space="preserve">DEL 1 DE ENERO AL </w:t>
            </w:r>
            <w:r w:rsidR="00BD1C9B">
              <w:rPr>
                <w:rFonts w:ascii="Times New Roman" w:hAnsi="Times New Roman"/>
                <w:b/>
                <w:sz w:val="20"/>
                <w:szCs w:val="20"/>
              </w:rPr>
              <w:t>31 DE MAYO</w:t>
            </w:r>
            <w:r w:rsidR="007A5A88" w:rsidRPr="00C51B6B">
              <w:rPr>
                <w:rFonts w:ascii="Times New Roman" w:hAnsi="Times New Roman"/>
                <w:b/>
                <w:sz w:val="20"/>
                <w:szCs w:val="20"/>
              </w:rPr>
              <w:t xml:space="preserve"> DE 2022</w:t>
            </w:r>
          </w:p>
        </w:tc>
      </w:tr>
    </w:tbl>
    <w:p w:rsidR="000E761D" w:rsidRPr="00C51B6B" w:rsidRDefault="000E761D" w:rsidP="000E761D">
      <w:pPr>
        <w:spacing w:after="120" w:line="240" w:lineRule="auto"/>
        <w:rPr>
          <w:rFonts w:ascii="Times New Roman" w:hAnsi="Times New Roman"/>
          <w:sz w:val="20"/>
          <w:szCs w:val="20"/>
        </w:rPr>
      </w:pPr>
    </w:p>
    <w:tbl>
      <w:tblPr>
        <w:tblW w:w="89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37"/>
        <w:gridCol w:w="1242"/>
        <w:gridCol w:w="3849"/>
        <w:gridCol w:w="150"/>
      </w:tblGrid>
      <w:tr w:rsidR="000E761D" w:rsidRPr="00C51B6B" w:rsidTr="000006C5">
        <w:tc>
          <w:tcPr>
            <w:tcW w:w="8978" w:type="dxa"/>
            <w:gridSpan w:val="4"/>
          </w:tcPr>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bookmarkStart w:id="1" w:name="cuerpo"/>
            <w:bookmarkStart w:id="2" w:name="_GoBack"/>
            <w:bookmarkEnd w:id="1"/>
          </w:p>
          <w:p w:rsidR="000E761D" w:rsidRPr="00C51B6B" w:rsidRDefault="000903BB" w:rsidP="009E2155">
            <w:pPr>
              <w:autoSpaceDE w:val="0"/>
              <w:autoSpaceDN w:val="0"/>
              <w:adjustRightInd w:val="0"/>
              <w:spacing w:after="0" w:line="240" w:lineRule="auto"/>
              <w:ind w:left="1080" w:hanging="72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I.      </w:t>
            </w:r>
            <w:r w:rsidR="000E761D" w:rsidRPr="00C51B6B">
              <w:rPr>
                <w:rFonts w:ascii="Times New Roman" w:hAnsi="Times New Roman"/>
                <w:color w:val="000000"/>
                <w:sz w:val="20"/>
                <w:szCs w:val="20"/>
                <w:lang w:eastAsia="es-MX"/>
              </w:rPr>
              <w:t>Información Contable.</w:t>
            </w:r>
          </w:p>
          <w:p w:rsidR="00E55666" w:rsidRPr="00C51B6B" w:rsidRDefault="00E55666"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ab/>
              <w:t>Notas al Estado de Situación Financiera.</w:t>
            </w:r>
          </w:p>
          <w:p w:rsidR="00E55666" w:rsidRPr="00C51B6B" w:rsidRDefault="00E55666" w:rsidP="002A4D02">
            <w:pPr>
              <w:autoSpaceDE w:val="0"/>
              <w:autoSpaceDN w:val="0"/>
              <w:adjustRightInd w:val="0"/>
              <w:spacing w:after="0" w:line="240" w:lineRule="auto"/>
              <w:jc w:val="both"/>
              <w:rPr>
                <w:rFonts w:ascii="Times New Roman" w:hAnsi="Times New Roman"/>
                <w:color w:val="000000"/>
                <w:sz w:val="20"/>
                <w:szCs w:val="20"/>
                <w:lang w:eastAsia="es-MX"/>
              </w:rPr>
            </w:pPr>
          </w:p>
          <w:p w:rsidR="00E55666" w:rsidRPr="00C51B6B" w:rsidRDefault="000E761D" w:rsidP="00E55666">
            <w:pPr>
              <w:autoSpaceDE w:val="0"/>
              <w:autoSpaceDN w:val="0"/>
              <w:adjustRightInd w:val="0"/>
              <w:spacing w:after="0" w:line="240" w:lineRule="auto"/>
              <w:ind w:left="795" w:hanging="435"/>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1.1.</w:t>
            </w:r>
            <w:r w:rsidRPr="00C51B6B">
              <w:rPr>
                <w:rFonts w:ascii="Times New Roman" w:hAnsi="Times New Roman"/>
                <w:color w:val="000000"/>
                <w:sz w:val="20"/>
                <w:szCs w:val="20"/>
                <w:lang w:eastAsia="es-MX"/>
              </w:rPr>
              <w:tab/>
              <w:t>Activo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BD1C9B">
              <w:rPr>
                <w:rFonts w:ascii="Times New Roman" w:hAnsi="Times New Roman"/>
                <w:b/>
                <w:color w:val="000000"/>
                <w:sz w:val="20"/>
                <w:szCs w:val="20"/>
                <w:lang w:eastAsia="es-MX"/>
              </w:rPr>
              <w:t>Efectivo y Equivalentes.</w:t>
            </w:r>
          </w:p>
          <w:p w:rsidR="00BD1C9B" w:rsidRPr="00BD1C9B" w:rsidRDefault="00BD1C9B"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C51B6B" w:rsidRDefault="000E761D" w:rsidP="009E2155">
            <w:pPr>
              <w:autoSpaceDE w:val="0"/>
              <w:autoSpaceDN w:val="0"/>
              <w:adjustRightInd w:val="0"/>
              <w:spacing w:after="0" w:line="240" w:lineRule="auto"/>
              <w:ind w:right="-93"/>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efectivo está constituido por moneda de curso legal y se presenta en su valor nominal, proven</w:t>
            </w:r>
            <w:r w:rsidR="00A85425" w:rsidRPr="00C51B6B">
              <w:rPr>
                <w:rFonts w:ascii="Times New Roman" w:hAnsi="Times New Roman"/>
                <w:color w:val="000000"/>
                <w:sz w:val="20"/>
                <w:szCs w:val="20"/>
                <w:lang w:eastAsia="es-MX"/>
              </w:rPr>
              <w:t>iente de los ingresos captados.</w:t>
            </w:r>
          </w:p>
          <w:p w:rsidR="00E55666" w:rsidRPr="00C51B6B" w:rsidRDefault="00E55666" w:rsidP="009E2155">
            <w:pPr>
              <w:autoSpaceDE w:val="0"/>
              <w:autoSpaceDN w:val="0"/>
              <w:adjustRightInd w:val="0"/>
              <w:spacing w:after="0" w:line="240" w:lineRule="auto"/>
              <w:ind w:right="-93"/>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saldo que se refleja por un importe de </w:t>
            </w:r>
            <w:r w:rsidR="00FC1C7D" w:rsidRPr="00C51B6B">
              <w:rPr>
                <w:rFonts w:ascii="Times New Roman" w:hAnsi="Times New Roman"/>
                <w:b/>
                <w:sz w:val="20"/>
                <w:szCs w:val="20"/>
                <w:u w:val="single"/>
                <w:lang w:eastAsia="es-MX"/>
              </w:rPr>
              <w:t xml:space="preserve"> </w:t>
            </w:r>
            <w:r w:rsidR="00BD1C9B" w:rsidRPr="00BD1C9B">
              <w:rPr>
                <w:rFonts w:ascii="Times New Roman" w:hAnsi="Times New Roman"/>
                <w:b/>
                <w:sz w:val="20"/>
                <w:szCs w:val="20"/>
                <w:u w:val="single"/>
                <w:lang w:eastAsia="es-MX"/>
              </w:rPr>
              <w:t>$2,944,451,521.75</w:t>
            </w:r>
            <w:r w:rsidR="00BD1C9B">
              <w:rPr>
                <w:rFonts w:ascii="Times New Roman" w:hAnsi="Times New Roman"/>
                <w:b/>
                <w:sz w:val="20"/>
                <w:szCs w:val="20"/>
                <w:u w:val="single"/>
                <w:lang w:eastAsia="es-MX"/>
              </w:rPr>
              <w:t xml:space="preserve"> </w:t>
            </w:r>
            <w:r w:rsidRPr="00C51B6B">
              <w:rPr>
                <w:rFonts w:ascii="Times New Roman" w:hAnsi="Times New Roman"/>
                <w:color w:val="000000"/>
                <w:sz w:val="20"/>
                <w:szCs w:val="20"/>
                <w:lang w:eastAsia="es-MX"/>
              </w:rPr>
              <w:t>son recursos disponibles del Municipio para cubrir sus com</w:t>
            </w:r>
            <w:r w:rsidR="00A85425" w:rsidRPr="00C51B6B">
              <w:rPr>
                <w:rFonts w:ascii="Times New Roman" w:hAnsi="Times New Roman"/>
                <w:color w:val="000000"/>
                <w:sz w:val="20"/>
                <w:szCs w:val="20"/>
                <w:lang w:eastAsia="es-MX"/>
              </w:rPr>
              <w:t>promisos y está conformado por:</w:t>
            </w:r>
          </w:p>
          <w:p w:rsidR="00E55666" w:rsidRPr="00C51B6B" w:rsidRDefault="00E55666" w:rsidP="009E2155">
            <w:pPr>
              <w:autoSpaceDE w:val="0"/>
              <w:autoSpaceDN w:val="0"/>
              <w:adjustRightInd w:val="0"/>
              <w:spacing w:after="0"/>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023"/>
              <w:gridCol w:w="1729"/>
            </w:tblGrid>
            <w:tr w:rsidR="000E761D" w:rsidRPr="00C51B6B" w:rsidTr="000006C5">
              <w:trPr>
                <w:trHeight w:val="249"/>
              </w:trPr>
              <w:tc>
                <w:tcPr>
                  <w:tcW w:w="401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E761D" w:rsidRPr="00C51B6B" w:rsidRDefault="000E761D" w:rsidP="00D06A39">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EFECTIVO</w:t>
                  </w:r>
                </w:p>
              </w:tc>
              <w:tc>
                <w:tcPr>
                  <w:tcW w:w="988" w:type="pct"/>
                  <w:tcBorders>
                    <w:top w:val="single" w:sz="4" w:space="0" w:color="auto"/>
                    <w:left w:val="nil"/>
                    <w:bottom w:val="single" w:sz="4" w:space="0" w:color="auto"/>
                    <w:right w:val="single" w:sz="4" w:space="0" w:color="auto"/>
                  </w:tcBorders>
                  <w:shd w:val="clear" w:color="auto" w:fill="auto"/>
                  <w:noWrap/>
                  <w:vAlign w:val="center"/>
                  <w:hideMark/>
                </w:tcPr>
                <w:p w:rsidR="000E761D" w:rsidRPr="00C51B6B" w:rsidRDefault="00C64B56" w:rsidP="0059381A">
                  <w:pPr>
                    <w:spacing w:after="0" w:line="240" w:lineRule="auto"/>
                    <w:jc w:val="right"/>
                    <w:rPr>
                      <w:rFonts w:ascii="Times New Roman" w:eastAsia="Times New Roman" w:hAnsi="Times New Roman"/>
                      <w:b/>
                      <w:color w:val="000000"/>
                      <w:sz w:val="20"/>
                      <w:szCs w:val="20"/>
                      <w:u w:val="single"/>
                      <w:lang w:eastAsia="es-MX"/>
                    </w:rPr>
                  </w:pPr>
                  <w:r>
                    <w:rPr>
                      <w:rFonts w:ascii="Times New Roman" w:eastAsia="Times New Roman" w:hAnsi="Times New Roman"/>
                      <w:b/>
                      <w:color w:val="000000"/>
                      <w:sz w:val="20"/>
                      <w:szCs w:val="20"/>
                      <w:u w:val="single"/>
                      <w:lang w:eastAsia="es-MX"/>
                    </w:rPr>
                    <w:t>$575</w:t>
                  </w:r>
                  <w:r w:rsidR="00BD1C9B">
                    <w:rPr>
                      <w:rFonts w:ascii="Times New Roman" w:eastAsia="Times New Roman" w:hAnsi="Times New Roman"/>
                      <w:b/>
                      <w:color w:val="000000"/>
                      <w:sz w:val="20"/>
                      <w:szCs w:val="20"/>
                      <w:u w:val="single"/>
                      <w:lang w:eastAsia="es-MX"/>
                    </w:rPr>
                    <w:t>,0</w:t>
                  </w:r>
                  <w:r w:rsidR="009D4054">
                    <w:rPr>
                      <w:rFonts w:ascii="Times New Roman" w:eastAsia="Times New Roman" w:hAnsi="Times New Roman"/>
                      <w:b/>
                      <w:color w:val="000000"/>
                      <w:sz w:val="20"/>
                      <w:szCs w:val="20"/>
                      <w:u w:val="single"/>
                      <w:lang w:eastAsia="es-MX"/>
                    </w:rPr>
                    <w:t>00.00</w:t>
                  </w:r>
                </w:p>
              </w:tc>
            </w:tr>
            <w:tr w:rsidR="001D5BED"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1D5BED">
                  <w:pPr>
                    <w:contextualSpacing/>
                    <w:jc w:val="right"/>
                    <w:rPr>
                      <w:rFonts w:ascii="Times New Roman" w:eastAsia="Times New Roman" w:hAnsi="Times New Roman"/>
                      <w:color w:val="000000"/>
                      <w:sz w:val="20"/>
                      <w:szCs w:val="20"/>
                    </w:rPr>
                  </w:pPr>
                  <w:r w:rsidRPr="001D5BED">
                    <w:rPr>
                      <w:rFonts w:ascii="Times New Roman" w:hAnsi="Times New Roman"/>
                      <w:color w:val="000000"/>
                      <w:sz w:val="20"/>
                      <w:szCs w:val="20"/>
                    </w:rPr>
                    <w:t>$575,000.00</w:t>
                  </w:r>
                </w:p>
              </w:tc>
            </w:tr>
            <w:tr w:rsidR="001D5BED"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1D5BED" w:rsidRPr="00C51B6B" w:rsidRDefault="001D5BED" w:rsidP="001D5BED">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FONDOS FIJOS RECAUDADOR</w:t>
                  </w:r>
                </w:p>
              </w:tc>
              <w:tc>
                <w:tcPr>
                  <w:tcW w:w="988" w:type="pct"/>
                  <w:tcBorders>
                    <w:top w:val="nil"/>
                    <w:left w:val="nil"/>
                    <w:bottom w:val="single" w:sz="4" w:space="0" w:color="auto"/>
                    <w:right w:val="single" w:sz="4" w:space="0" w:color="auto"/>
                  </w:tcBorders>
                  <w:shd w:val="clear" w:color="auto" w:fill="auto"/>
                  <w:noWrap/>
                  <w:vAlign w:val="center"/>
                  <w:hideMark/>
                </w:tcPr>
                <w:p w:rsidR="001D5BED" w:rsidRPr="001D5BED" w:rsidRDefault="001D5BED" w:rsidP="001D5BED">
                  <w:pPr>
                    <w:contextualSpacing/>
                    <w:jc w:val="right"/>
                    <w:rPr>
                      <w:rFonts w:ascii="Times New Roman" w:hAnsi="Times New Roman"/>
                      <w:color w:val="000000"/>
                      <w:sz w:val="20"/>
                      <w:szCs w:val="20"/>
                    </w:rPr>
                  </w:pPr>
                  <w:r w:rsidRPr="001D5BED">
                    <w:rPr>
                      <w:rFonts w:ascii="Times New Roman" w:hAnsi="Times New Roman"/>
                      <w:color w:val="000000"/>
                      <w:sz w:val="20"/>
                      <w:szCs w:val="20"/>
                    </w:rPr>
                    <w:t>$0.00</w:t>
                  </w:r>
                </w:p>
              </w:tc>
            </w:tr>
            <w:tr w:rsidR="000E761D"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076BCA" w:rsidRPr="00C51B6B" w:rsidRDefault="00076BCA"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c>
                <w:tcPr>
                  <w:tcW w:w="988" w:type="pct"/>
                  <w:tcBorders>
                    <w:top w:val="nil"/>
                    <w:left w:val="nil"/>
                    <w:bottom w:val="single" w:sz="4" w:space="0" w:color="auto"/>
                    <w:right w:val="single" w:sz="4" w:space="0" w:color="auto"/>
                  </w:tcBorders>
                  <w:shd w:val="clear" w:color="auto" w:fill="auto"/>
                  <w:noWrap/>
                  <w:vAlign w:val="center"/>
                  <w:hideMark/>
                </w:tcPr>
                <w:p w:rsidR="000E761D" w:rsidRPr="00C51B6B" w:rsidRDefault="000E761D" w:rsidP="009E2155">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F02E77"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F02E77" w:rsidRPr="00F02E77" w:rsidRDefault="00F02E77" w:rsidP="00F02E77">
                  <w:pPr>
                    <w:spacing w:after="0"/>
                    <w:rPr>
                      <w:rFonts w:ascii="Times New Roman" w:eastAsia="Times New Roman" w:hAnsi="Times New Roman"/>
                      <w:b/>
                      <w:bCs/>
                      <w:color w:val="000000"/>
                      <w:sz w:val="20"/>
                      <w:szCs w:val="20"/>
                    </w:rPr>
                  </w:pPr>
                  <w:r w:rsidRPr="00F02E77">
                    <w:rPr>
                      <w:rFonts w:ascii="Times New Roman" w:hAnsi="Times New Roman"/>
                      <w:b/>
                      <w:bCs/>
                      <w:color w:val="000000"/>
                      <w:sz w:val="20"/>
                      <w:szCs w:val="20"/>
                    </w:rPr>
                    <w:t>BANCOS / TESORERIA</w:t>
                  </w:r>
                </w:p>
              </w:tc>
              <w:tc>
                <w:tcPr>
                  <w:tcW w:w="988" w:type="pct"/>
                  <w:tcBorders>
                    <w:top w:val="nil"/>
                    <w:left w:val="nil"/>
                    <w:bottom w:val="single" w:sz="4" w:space="0" w:color="auto"/>
                    <w:right w:val="single" w:sz="4" w:space="0" w:color="auto"/>
                  </w:tcBorders>
                  <w:shd w:val="clear" w:color="auto" w:fill="auto"/>
                  <w:noWrap/>
                  <w:vAlign w:val="center"/>
                </w:tcPr>
                <w:p w:rsidR="00F02E77" w:rsidRPr="00F02E77" w:rsidRDefault="00BD1C9B" w:rsidP="00F02E77">
                  <w:pPr>
                    <w:spacing w:after="0"/>
                    <w:jc w:val="right"/>
                    <w:rPr>
                      <w:rFonts w:ascii="Times New Roman" w:hAnsi="Times New Roman"/>
                      <w:b/>
                      <w:bCs/>
                      <w:color w:val="000000"/>
                      <w:sz w:val="20"/>
                      <w:szCs w:val="20"/>
                      <w:u w:val="single"/>
                    </w:rPr>
                  </w:pPr>
                  <w:r w:rsidRPr="00BD1C9B">
                    <w:rPr>
                      <w:rFonts w:ascii="Times New Roman" w:hAnsi="Times New Roman"/>
                      <w:b/>
                      <w:bCs/>
                      <w:color w:val="000000"/>
                      <w:sz w:val="20"/>
                      <w:szCs w:val="20"/>
                      <w:u w:val="single"/>
                    </w:rPr>
                    <w:t>$2,342,892,312.70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CB0049 BANSI 00097199388</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$0.01</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CB0050 BANSI 00097298874</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$1,578,110.70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CB0031 BANORTE 169-03380-3</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$798,611.81</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CB0051 BBVA BANCOMER 0453778363</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$131,838,985.15</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CB0116 SCOTIABANK 01005193389</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$7,139,048.18</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CB0002 BANAMEX 4434 15123</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$144,860,941.89</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CB0015 BANAMEX 7007 45344</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$26,976,172.12</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CB0106 SCOTIABANK 01003379736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$2,100.63</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CB0208 BANCO SABADELL, S.A., INSTITUCION DE BANCA MULTIPLE 00000893801</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$145,184,178.06</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CB0004 BANAMEX 4434 38816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$126,596.00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CB0011 BANAMEX 7005 4897268</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$13,909.12</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CB0220 BANCO DEL BAJIO 252634680101</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$2,721,282.92</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CB0212 SANTANDER 65507163293</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$268,598,459.50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CB0160 BBVA BANCOMER 0109928340</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$2,487,218.79</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CB0247 BBVA BANCOMER 0116320015</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$377,219.00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CB0016 BANAMEX 7007 45379</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$15,576.33</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CB0018 BANAMEX 4434 65066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$8,091,896.05</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CB0033 BANORTE 0820574534</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$16,020,025.79</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CB0221 ACCENDO BANCO, S.A. INSTITUCION BANCARIA MULTIPLE 001029930011</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$303,953,021.20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CB0003 BANAMEX 4434 23797</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$860,817.53</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CB0053 BBVA BANCOMER 0133334872</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$20,072.38</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CB0078 SANTANDER 65-50148258-3</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$1,079,302.06</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lastRenderedPageBreak/>
                    <w:t>CB0119 BANCO DEL BAJIO 5726245</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$302,303,959.37</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CB0096 SANTANDER 65-50172837-7</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$858,903.67</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CB0093 SANTANDER 65505255942</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$4,306,831.55</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CB0036 BANORTE 00221420434</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$10,000.22</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CB0052 BBVA BANCOMER 0453778371</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$26,213.07</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CB0080 SANTANDER 65-50149803-1</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$150,960.87</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CB0199 BANCO DEL BAJIO 180635030101</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$1,048,417.49</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CB0164 SCOTIABANK 01005003768</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$288,072,341.19</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CB0175 BANAMEX 5776256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$14,441,887.08</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CB0254 SCOTIABANK 25604069892</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$71,834,863.34</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CB0239 BBVA BANCOMER 0115336732</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$2,152,173.94</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CB0162 SANTANDER 65505731870</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$369,510.98</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CB0163 BBVA BANCOMER 00110242926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$32,544.99</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CB0237 SCOTIABANK 25601750456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$1,424,028.91</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CB0255 SANTANDER 65508974334</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$290,517,449.42</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CB0054 BBVA BANCOMER 0133335186</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$38,396.00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CB0070 HSBC 4043596238</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$544,369.70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CB0077 SANTANDER 65-50079201-5</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$127,052.44</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CB0079 SANTANDER 65-50148266-0</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-$4,226,281.50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CB0219 BANCO AZTECA 01720121556222</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$503,656.94</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CB0240 BBVA BANCOMER 0115336724</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$593,513.42</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CB0258 SANTANDER 65509220827</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$30,461.00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CB0256 BBVA BANCOMER 0117921187</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$1,125,366.27</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CB0257 BANORTE 1182476119</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$303,533,031.94</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CB0253 BANORTE 1172159048</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$1.00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tcPr>
                <w:p w:rsidR="00BD1C9B" w:rsidRPr="00BD1C9B" w:rsidRDefault="00BD1C9B" w:rsidP="00BD1C9B">
                  <w:pPr>
                    <w:spacing w:after="0"/>
                    <w:rPr>
                      <w:rFonts w:ascii="Times New Roman" w:hAnsi="Times New Roman"/>
                      <w:sz w:val="20"/>
                      <w:szCs w:val="20"/>
                    </w:rPr>
                  </w:pPr>
                  <w:r w:rsidRPr="00BD1C9B">
                    <w:rPr>
                      <w:rFonts w:ascii="Times New Roman" w:hAnsi="Times New Roman"/>
                      <w:sz w:val="20"/>
                      <w:szCs w:val="20"/>
                    </w:rPr>
                    <w:t>CB0259 SANTANDER 65509220585</w:t>
                  </w:r>
                </w:p>
              </w:tc>
              <w:tc>
                <w:tcPr>
                  <w:tcW w:w="988" w:type="pct"/>
                  <w:tcBorders>
                    <w:top w:val="nil"/>
                    <w:left w:val="nil"/>
                    <w:bottom w:val="single" w:sz="4" w:space="0" w:color="auto"/>
                    <w:right w:val="single" w:sz="4" w:space="0" w:color="auto"/>
                  </w:tcBorders>
                  <w:shd w:val="clear" w:color="auto" w:fill="auto"/>
                  <w:noWrap/>
                </w:tcPr>
                <w:p w:rsidR="00BD1C9B" w:rsidRPr="00BD1C9B" w:rsidRDefault="00BD1C9B" w:rsidP="00BD1C9B">
                  <w:pPr>
                    <w:spacing w:after="0"/>
                    <w:jc w:val="right"/>
                    <w:rPr>
                      <w:rFonts w:ascii="Times New Roman" w:hAnsi="Times New Roman"/>
                      <w:sz w:val="20"/>
                      <w:szCs w:val="20"/>
                    </w:rPr>
                  </w:pPr>
                  <w:r w:rsidRPr="00BD1C9B">
                    <w:rPr>
                      <w:rFonts w:ascii="Times New Roman" w:hAnsi="Times New Roman"/>
                      <w:sz w:val="20"/>
                      <w:szCs w:val="20"/>
                    </w:rPr>
                    <w:t>$329,114.18</w:t>
                  </w:r>
                </w:p>
              </w:tc>
            </w:tr>
            <w:tr w:rsidR="00D06A39" w:rsidRPr="00C51B6B" w:rsidTr="000006C5">
              <w:trPr>
                <w:trHeight w:val="318"/>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796F5A">
                  <w:pPr>
                    <w:spacing w:after="0" w:line="240" w:lineRule="auto"/>
                    <w:rPr>
                      <w:rFonts w:ascii="Times New Roman" w:eastAsia="Times New Roman" w:hAnsi="Times New Roman"/>
                      <w:color w:val="000000"/>
                      <w:sz w:val="20"/>
                      <w:szCs w:val="20"/>
                      <w:lang w:eastAsia="es-MX"/>
                    </w:rPr>
                  </w:pP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b/>
                      <w:bCs/>
                      <w:color w:val="000000"/>
                      <w:sz w:val="20"/>
                      <w:szCs w:val="20"/>
                    </w:rPr>
                  </w:pPr>
                  <w:r w:rsidRPr="00BD1C9B">
                    <w:rPr>
                      <w:rFonts w:ascii="Times New Roman" w:hAnsi="Times New Roman"/>
                      <w:b/>
                      <w:bCs/>
                      <w:color w:val="000000"/>
                      <w:sz w:val="20"/>
                      <w:szCs w:val="20"/>
                    </w:rPr>
                    <w:t>INVERSIONES TEMPORALES</w:t>
                  </w:r>
                </w:p>
              </w:tc>
              <w:tc>
                <w:tcPr>
                  <w:tcW w:w="988" w:type="pct"/>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b/>
                      <w:bCs/>
                      <w:color w:val="000000"/>
                      <w:sz w:val="20"/>
                      <w:szCs w:val="20"/>
                      <w:u w:val="single"/>
                    </w:rPr>
                  </w:pPr>
                  <w:r w:rsidRPr="00BD1C9B">
                    <w:rPr>
                      <w:rFonts w:ascii="Times New Roman" w:hAnsi="Times New Roman"/>
                      <w:b/>
                      <w:bCs/>
                      <w:color w:val="000000"/>
                      <w:sz w:val="20"/>
                      <w:szCs w:val="20"/>
                      <w:u w:val="single"/>
                    </w:rPr>
                    <w:t>$600,889,869.43</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CB0232 ACTINVER CASA DE BOLSA, S.A. DE C.V. 5385497</w:t>
                  </w:r>
                </w:p>
              </w:tc>
              <w:tc>
                <w:tcPr>
                  <w:tcW w:w="988" w:type="pct"/>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$0.00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CB0104 SANTANDER 65-50148262-6</w:t>
                  </w:r>
                </w:p>
              </w:tc>
              <w:tc>
                <w:tcPr>
                  <w:tcW w:w="988" w:type="pct"/>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$0.00</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CB0094 SANTANDER 65-50441567-0</w:t>
                  </w:r>
                </w:p>
              </w:tc>
              <w:tc>
                <w:tcPr>
                  <w:tcW w:w="988" w:type="pct"/>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$6.34</w:t>
                  </w:r>
                </w:p>
              </w:tc>
            </w:tr>
            <w:tr w:rsidR="00BD1C9B"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CB0105 SANTANDER 65-50148262-6</w:t>
                  </w:r>
                </w:p>
              </w:tc>
              <w:tc>
                <w:tcPr>
                  <w:tcW w:w="988" w:type="pct"/>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$600,889,863.09</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F02E77" w:rsidP="00D06A39">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FONDOS DE AFECTACION ESPECIFICA</w:t>
                  </w:r>
                </w:p>
              </w:tc>
              <w:tc>
                <w:tcPr>
                  <w:tcW w:w="988" w:type="pct"/>
                  <w:tcBorders>
                    <w:top w:val="nil"/>
                    <w:left w:val="nil"/>
                    <w:bottom w:val="single" w:sz="4" w:space="0" w:color="auto"/>
                    <w:right w:val="single" w:sz="4" w:space="0" w:color="auto"/>
                  </w:tcBorders>
                  <w:shd w:val="clear" w:color="auto" w:fill="auto"/>
                  <w:noWrap/>
                  <w:vAlign w:val="center"/>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$0.00</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F02E77" w:rsidP="00D06A39">
                  <w:pPr>
                    <w:spacing w:after="0" w:line="240" w:lineRule="auto"/>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 </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b/>
                      <w:color w:val="000000"/>
                      <w:sz w:val="20"/>
                      <w:szCs w:val="20"/>
                      <w:u w:val="single"/>
                      <w:lang w:eastAsia="es-MX"/>
                    </w:rPr>
                  </w:pPr>
                  <w:r w:rsidRPr="00C51B6B">
                    <w:rPr>
                      <w:rFonts w:ascii="Times New Roman" w:eastAsia="Times New Roman" w:hAnsi="Times New Roman"/>
                      <w:color w:val="000000"/>
                      <w:sz w:val="20"/>
                      <w:szCs w:val="20"/>
                      <w:lang w:eastAsia="es-MX"/>
                    </w:rPr>
                    <w:t> </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b/>
                      <w:bCs/>
                      <w:color w:val="000000"/>
                      <w:sz w:val="20"/>
                      <w:szCs w:val="20"/>
                      <w:lang w:eastAsia="es-MX"/>
                    </w:rPr>
                    <w:t>DEPOSITOS EN GARANTIA POR ARRENDAMIENTOS DE INMUEBLES</w:t>
                  </w:r>
                </w:p>
              </w:tc>
              <w:tc>
                <w:tcPr>
                  <w:tcW w:w="988" w:type="pct"/>
                  <w:tcBorders>
                    <w:top w:val="nil"/>
                    <w:left w:val="nil"/>
                    <w:bottom w:val="single" w:sz="4" w:space="0" w:color="auto"/>
                    <w:right w:val="single" w:sz="4" w:space="0" w:color="auto"/>
                  </w:tcBorders>
                  <w:shd w:val="clear" w:color="auto" w:fill="auto"/>
                  <w:noWrap/>
                  <w:vAlign w:val="bottom"/>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b/>
                      <w:color w:val="000000"/>
                      <w:sz w:val="20"/>
                      <w:szCs w:val="20"/>
                      <w:u w:val="single"/>
                      <w:lang w:eastAsia="es-MX"/>
                    </w:rPr>
                    <w:t>$94,339.62</w:t>
                  </w:r>
                </w:p>
              </w:tc>
            </w:tr>
            <w:tr w:rsidR="00D06A39" w:rsidRPr="00C51B6B" w:rsidTr="000006C5">
              <w:trPr>
                <w:trHeight w:val="249"/>
              </w:trPr>
              <w:tc>
                <w:tcPr>
                  <w:tcW w:w="4012" w:type="pct"/>
                  <w:tcBorders>
                    <w:top w:val="nil"/>
                    <w:left w:val="single" w:sz="4" w:space="0" w:color="auto"/>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PRO07883 MIGUEL ANGEL GUTIERREZ RIZO</w:t>
                  </w:r>
                </w:p>
              </w:tc>
              <w:tc>
                <w:tcPr>
                  <w:tcW w:w="988" w:type="pct"/>
                  <w:tcBorders>
                    <w:top w:val="nil"/>
                    <w:left w:val="nil"/>
                    <w:bottom w:val="single" w:sz="4" w:space="0" w:color="auto"/>
                    <w:right w:val="single" w:sz="4" w:space="0" w:color="auto"/>
                  </w:tcBorders>
                  <w:shd w:val="clear" w:color="auto" w:fill="auto"/>
                  <w:noWrap/>
                  <w:vAlign w:val="center"/>
                  <w:hideMark/>
                </w:tcPr>
                <w:p w:rsidR="00D06A39" w:rsidRPr="00C51B6B" w:rsidRDefault="00D06A39" w:rsidP="00D06A39">
                  <w:pPr>
                    <w:spacing w:after="0" w:line="240" w:lineRule="auto"/>
                    <w:jc w:val="right"/>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 xml:space="preserve">               94,339.62 </w:t>
                  </w:r>
                </w:p>
              </w:tc>
            </w:tr>
          </w:tbl>
          <w:p w:rsidR="000A517F" w:rsidRDefault="000A517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B434F" w:rsidRPr="00C51B6B" w:rsidRDefault="00BB434F"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841D91" w:rsidRPr="00C51B6B" w:rsidRDefault="00170B4B"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 xml:space="preserve">DATA INFORMATIVA: </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144056"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Derivado de la emergencia de salud pública reconocida mediante la declaratoria de PANDEMIA</w:t>
            </w:r>
            <w:r w:rsidR="00514F7B" w:rsidRPr="00C51B6B">
              <w:rPr>
                <w:rFonts w:ascii="Times New Roman" w:hAnsi="Times New Roman"/>
                <w:color w:val="000000"/>
                <w:sz w:val="20"/>
                <w:szCs w:val="20"/>
                <w:lang w:eastAsia="es-MX"/>
              </w:rPr>
              <w:t xml:space="preserve"> de la Organización mundial de salud así como el acuerdo por el que se declara emergencia sanitaria  por causa de fuerza mayor; </w:t>
            </w:r>
          </w:p>
          <w:p w:rsidR="00076BCA" w:rsidRPr="00C51B6B" w:rsidRDefault="00076BCA" w:rsidP="00E0479C">
            <w:pPr>
              <w:autoSpaceDE w:val="0"/>
              <w:autoSpaceDN w:val="0"/>
              <w:adjustRightInd w:val="0"/>
              <w:spacing w:after="0" w:line="240" w:lineRule="auto"/>
              <w:jc w:val="both"/>
              <w:rPr>
                <w:rFonts w:ascii="Times New Roman" w:hAnsi="Times New Roman"/>
                <w:color w:val="000000"/>
                <w:sz w:val="20"/>
                <w:szCs w:val="20"/>
                <w:lang w:eastAsia="es-MX"/>
              </w:rPr>
            </w:pPr>
          </w:p>
          <w:p w:rsidR="00997F7A" w:rsidRPr="00C51B6B" w:rsidRDefault="00997F7A"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En la sesión número CCCXXVIII de la Comisión Permanente de Funcionarios Fiscales celebrada el pasado 1 de abril de 2020 en la modalidad de videoconferencia, los miembros de este Organismo se manifestaron por aprobar  por unanimidad el acuerdo “328/2</w:t>
            </w:r>
            <w:r w:rsidR="003E24DB" w:rsidRPr="00C51B6B">
              <w:rPr>
                <w:rFonts w:ascii="Times New Roman" w:hAnsi="Times New Roman"/>
                <w:color w:val="000000"/>
                <w:sz w:val="20"/>
                <w:szCs w:val="20"/>
                <w:lang w:eastAsia="es-MX"/>
              </w:rPr>
              <w:t>”</w:t>
            </w:r>
            <w:r w:rsidRPr="00C51B6B">
              <w:rPr>
                <w:rFonts w:ascii="Times New Roman" w:hAnsi="Times New Roman"/>
                <w:color w:val="000000"/>
                <w:sz w:val="20"/>
                <w:szCs w:val="20"/>
                <w:lang w:eastAsia="es-MX"/>
              </w:rPr>
              <w:t xml:space="preserve"> con el objetivo de garantizar  los recursos de los gobiern</w:t>
            </w:r>
            <w:r w:rsidR="00D55177" w:rsidRPr="00C51B6B">
              <w:rPr>
                <w:rFonts w:ascii="Times New Roman" w:hAnsi="Times New Roman"/>
                <w:color w:val="000000"/>
                <w:sz w:val="20"/>
                <w:szCs w:val="20"/>
                <w:lang w:eastAsia="es-MX"/>
              </w:rPr>
              <w:t>os de las entidades federativas</w:t>
            </w:r>
            <w:r w:rsidRPr="00C51B6B">
              <w:rPr>
                <w:rFonts w:ascii="Times New Roman" w:hAnsi="Times New Roman"/>
                <w:color w:val="000000"/>
                <w:sz w:val="20"/>
                <w:szCs w:val="20"/>
                <w:lang w:eastAsia="es-MX"/>
              </w:rPr>
              <w:t xml:space="preserve"> y los municipios ante una eventual disminución de los fondos de participaciones </w:t>
            </w:r>
            <w:r w:rsidRPr="00C51B6B">
              <w:rPr>
                <w:rFonts w:ascii="Times New Roman" w:hAnsi="Times New Roman"/>
                <w:color w:val="000000"/>
                <w:sz w:val="20"/>
                <w:szCs w:val="20"/>
                <w:lang w:eastAsia="es-MX"/>
              </w:rPr>
              <w:lastRenderedPageBreak/>
              <w:t>referenciados a la recaudación federal participable; se acuerda solicitar a la Secretaria de Hacienda y Crédito Público que diseñe un mecanismo de potenciación  de los recursos del Fondo de Estabilización  de los Ingresos de las Entidades Federativas FEIEF, con fundamento en los artículos 16 fracción ll, 20 y 21 de la Ley de Coordinación Fiscal</w:t>
            </w:r>
          </w:p>
          <w:p w:rsidR="00076BCA" w:rsidRPr="00C51B6B" w:rsidRDefault="00076BCA" w:rsidP="00473117">
            <w:pPr>
              <w:autoSpaceDE w:val="0"/>
              <w:autoSpaceDN w:val="0"/>
              <w:adjustRightInd w:val="0"/>
              <w:spacing w:after="0" w:line="240" w:lineRule="auto"/>
              <w:jc w:val="both"/>
              <w:rPr>
                <w:rFonts w:ascii="Times New Roman" w:hAnsi="Times New Roman"/>
                <w:color w:val="000000"/>
                <w:sz w:val="20"/>
                <w:szCs w:val="20"/>
                <w:lang w:eastAsia="es-MX"/>
              </w:rPr>
            </w:pPr>
          </w:p>
          <w:p w:rsidR="00473117" w:rsidRPr="00C51B6B" w:rsidRDefault="00D55177" w:rsidP="00473117">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 entidad federativa y la Secretaria de Hacienda y Crédito Público celebraron</w:t>
            </w:r>
            <w:r w:rsidR="00473117" w:rsidRPr="00C51B6B">
              <w:rPr>
                <w:rFonts w:ascii="Times New Roman" w:hAnsi="Times New Roman"/>
                <w:color w:val="000000"/>
                <w:sz w:val="20"/>
                <w:szCs w:val="20"/>
                <w:lang w:eastAsia="es-MX"/>
              </w:rPr>
              <w:t xml:space="preserve"> un convenio</w:t>
            </w:r>
            <w:r w:rsidRPr="00C51B6B">
              <w:rPr>
                <w:rFonts w:ascii="Times New Roman" w:hAnsi="Times New Roman"/>
                <w:color w:val="000000"/>
                <w:sz w:val="20"/>
                <w:szCs w:val="20"/>
                <w:lang w:eastAsia="es-MX"/>
              </w:rPr>
              <w:t xml:space="preserve">  que tiene por objeto establecer las bases para que en virtud  de la carta de aportación, el Fiduciario del FEIEF o la Secretaria de Hacienda y Crédito Público entregue al vehículo de Potenciación, por nombre y cuenta de la Entidad Federativa, los recursos futuros que le correspondería recibir con cargo al FEIEF </w:t>
            </w:r>
            <w:r w:rsidR="00C2448C" w:rsidRPr="00C51B6B">
              <w:rPr>
                <w:rFonts w:ascii="Times New Roman" w:hAnsi="Times New Roman"/>
                <w:b/>
                <w:color w:val="000000"/>
                <w:sz w:val="20"/>
                <w:szCs w:val="20"/>
                <w:lang w:eastAsia="es-MX"/>
              </w:rPr>
              <w:t>(</w:t>
            </w:r>
            <w:r w:rsidR="00C2448C" w:rsidRPr="00C51B6B">
              <w:rPr>
                <w:rFonts w:ascii="Times New Roman" w:hAnsi="Times New Roman"/>
                <w:color w:val="000000"/>
                <w:sz w:val="20"/>
                <w:szCs w:val="20"/>
                <w:lang w:eastAsia="es-MX"/>
              </w:rPr>
              <w:t>“</w:t>
            </w:r>
            <w:r w:rsidR="00473117" w:rsidRPr="00C51B6B">
              <w:rPr>
                <w:rFonts w:ascii="Times New Roman" w:hAnsi="Times New Roman"/>
                <w:b/>
                <w:color w:val="000000"/>
                <w:sz w:val="20"/>
                <w:szCs w:val="20"/>
                <w:lang w:eastAsia="es-MX"/>
              </w:rPr>
              <w:t>Mecanismo de Potenciación”</w:t>
            </w:r>
            <w:r w:rsidRPr="00C51B6B">
              <w:rPr>
                <w:rFonts w:ascii="Times New Roman" w:hAnsi="Times New Roman"/>
                <w:b/>
                <w:color w:val="000000"/>
                <w:sz w:val="20"/>
                <w:szCs w:val="20"/>
                <w:lang w:eastAsia="es-MX"/>
              </w:rPr>
              <w:t>)</w:t>
            </w:r>
            <w:r w:rsidR="00473117" w:rsidRPr="00C51B6B">
              <w:rPr>
                <w:rFonts w:ascii="Times New Roman" w:hAnsi="Times New Roman"/>
                <w:color w:val="000000"/>
                <w:sz w:val="20"/>
                <w:szCs w:val="20"/>
                <w:lang w:eastAsia="es-MX"/>
              </w:rPr>
              <w:t>.</w:t>
            </w:r>
          </w:p>
          <w:p w:rsidR="00473117" w:rsidRPr="00C51B6B" w:rsidRDefault="00473117" w:rsidP="00E0479C">
            <w:pPr>
              <w:autoSpaceDE w:val="0"/>
              <w:autoSpaceDN w:val="0"/>
              <w:adjustRightInd w:val="0"/>
              <w:spacing w:after="0" w:line="240" w:lineRule="auto"/>
              <w:jc w:val="both"/>
              <w:rPr>
                <w:rFonts w:ascii="Times New Roman" w:hAnsi="Times New Roman"/>
                <w:color w:val="000000"/>
                <w:sz w:val="20"/>
                <w:szCs w:val="20"/>
                <w:lang w:eastAsia="es-MX"/>
              </w:rPr>
            </w:pPr>
          </w:p>
          <w:p w:rsidR="00FC4124" w:rsidRPr="00C51B6B" w:rsidRDefault="00FC4124" w:rsidP="00E0479C">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Esquema a través del cual </w:t>
            </w:r>
            <w:r w:rsidR="002A0B8A" w:rsidRPr="00C51B6B">
              <w:rPr>
                <w:rFonts w:ascii="Times New Roman" w:hAnsi="Times New Roman"/>
                <w:color w:val="000000"/>
                <w:sz w:val="20"/>
                <w:szCs w:val="20"/>
                <w:lang w:eastAsia="es-MX"/>
              </w:rPr>
              <w:t xml:space="preserve">la entidad Federativa </w:t>
            </w:r>
            <w:r w:rsidRPr="00C51B6B">
              <w:rPr>
                <w:rFonts w:ascii="Times New Roman" w:hAnsi="Times New Roman"/>
                <w:color w:val="000000"/>
                <w:sz w:val="20"/>
                <w:szCs w:val="20"/>
                <w:lang w:eastAsia="es-MX"/>
              </w:rPr>
              <w:t>directamente o por conducto del gobierno federal a través de la Secretaría</w:t>
            </w:r>
            <w:r w:rsidR="00976555" w:rsidRPr="00C51B6B">
              <w:rPr>
                <w:rFonts w:ascii="Times New Roman" w:hAnsi="Times New Roman"/>
                <w:color w:val="000000"/>
                <w:sz w:val="20"/>
                <w:szCs w:val="20"/>
                <w:lang w:eastAsia="es-MX"/>
              </w:rPr>
              <w:t xml:space="preserve"> de Hacienda y Crédito Público</w:t>
            </w:r>
            <w:r w:rsidRPr="00C51B6B">
              <w:rPr>
                <w:rFonts w:ascii="Times New Roman" w:hAnsi="Times New Roman"/>
                <w:color w:val="000000"/>
                <w:sz w:val="20"/>
                <w:szCs w:val="20"/>
                <w:lang w:eastAsia="es-MX"/>
              </w:rPr>
              <w:t xml:space="preserve">  monetiza los recursos futuros del FEIEF  que les corresponden en términos de la LFPRH.</w:t>
            </w:r>
          </w:p>
          <w:p w:rsidR="00C617F2" w:rsidRPr="00C51B6B" w:rsidRDefault="00C617F2" w:rsidP="00E0479C">
            <w:pPr>
              <w:autoSpaceDE w:val="0"/>
              <w:autoSpaceDN w:val="0"/>
              <w:adjustRightInd w:val="0"/>
              <w:spacing w:after="0" w:line="240" w:lineRule="auto"/>
              <w:jc w:val="both"/>
              <w:rPr>
                <w:rFonts w:ascii="Times New Roman" w:hAnsi="Times New Roman"/>
                <w:color w:val="000000"/>
                <w:sz w:val="20"/>
                <w:szCs w:val="20"/>
                <w:lang w:eastAsia="es-MX"/>
              </w:rPr>
            </w:pPr>
          </w:p>
          <w:p w:rsidR="00A96990" w:rsidRPr="00C51B6B" w:rsidRDefault="00514F7B" w:rsidP="00E61799">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El monto máximo que anticipa la Secretaria al “vehículo de potenciación” por concepto de “cantidades faltantes”  en </w:t>
            </w:r>
            <w:r w:rsidR="003E24DB" w:rsidRPr="00C51B6B">
              <w:rPr>
                <w:rFonts w:ascii="Times New Roman" w:hAnsi="Times New Roman"/>
                <w:color w:val="000000"/>
                <w:sz w:val="20"/>
                <w:szCs w:val="20"/>
                <w:lang w:eastAsia="es-MX"/>
              </w:rPr>
              <w:t>cada año calendario</w:t>
            </w:r>
            <w:r w:rsidRPr="00C51B6B">
              <w:rPr>
                <w:rFonts w:ascii="Times New Roman" w:hAnsi="Times New Roman"/>
                <w:color w:val="000000"/>
                <w:sz w:val="20"/>
                <w:szCs w:val="20"/>
                <w:lang w:eastAsia="es-MX"/>
              </w:rPr>
              <w:t xml:space="preserve"> será el monto que sea equivalente al 4% del Fondo General de Participaciones que corresponda a la Entidad Federativa.</w:t>
            </w:r>
          </w:p>
          <w:p w:rsidR="00B01EFA" w:rsidRPr="00C51B6B" w:rsidRDefault="00B01EFA" w:rsidP="009E2155">
            <w:pPr>
              <w:autoSpaceDE w:val="0"/>
              <w:autoSpaceDN w:val="0"/>
              <w:adjustRightInd w:val="0"/>
              <w:spacing w:after="0" w:line="240" w:lineRule="auto"/>
              <w:jc w:val="both"/>
              <w:rPr>
                <w:rFonts w:ascii="Times New Roman" w:hAnsi="Times New Roman"/>
                <w:color w:val="000000" w:themeColor="text1"/>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r w:rsidRPr="000D038C">
              <w:rPr>
                <w:rFonts w:ascii="Times New Roman" w:hAnsi="Times New Roman"/>
                <w:color w:val="000000"/>
                <w:sz w:val="20"/>
                <w:szCs w:val="20"/>
                <w:lang w:eastAsia="es-MX"/>
              </w:rPr>
              <w:t xml:space="preserve">En </w:t>
            </w:r>
            <w:r w:rsidR="000D038C" w:rsidRPr="000D038C">
              <w:rPr>
                <w:rFonts w:ascii="Times New Roman" w:hAnsi="Times New Roman"/>
                <w:color w:val="000000"/>
                <w:sz w:val="20"/>
                <w:szCs w:val="20"/>
                <w:lang w:eastAsia="es-MX"/>
              </w:rPr>
              <w:t>l</w:t>
            </w:r>
            <w:r w:rsidR="002D3EDE">
              <w:rPr>
                <w:rFonts w:ascii="Times New Roman" w:hAnsi="Times New Roman"/>
                <w:color w:val="000000"/>
                <w:sz w:val="20"/>
                <w:szCs w:val="20"/>
                <w:lang w:eastAsia="es-MX"/>
              </w:rPr>
              <w:t xml:space="preserve">os meses de Enero, Febrero, </w:t>
            </w:r>
            <w:r w:rsidR="000D038C">
              <w:rPr>
                <w:rFonts w:ascii="Times New Roman" w:hAnsi="Times New Roman"/>
                <w:color w:val="000000"/>
                <w:sz w:val="20"/>
                <w:szCs w:val="20"/>
                <w:lang w:eastAsia="es-MX"/>
              </w:rPr>
              <w:t>Marzo</w:t>
            </w:r>
            <w:r w:rsidR="00BD1C9B">
              <w:rPr>
                <w:rFonts w:ascii="Times New Roman" w:hAnsi="Times New Roman"/>
                <w:color w:val="000000"/>
                <w:sz w:val="20"/>
                <w:szCs w:val="20"/>
                <w:lang w:eastAsia="es-MX"/>
              </w:rPr>
              <w:t>, Abril y Mayo</w:t>
            </w:r>
            <w:r w:rsidR="000D038C">
              <w:rPr>
                <w:rFonts w:ascii="Times New Roman" w:hAnsi="Times New Roman"/>
                <w:color w:val="000000"/>
                <w:sz w:val="20"/>
                <w:szCs w:val="20"/>
                <w:lang w:eastAsia="es-MX"/>
              </w:rPr>
              <w:t xml:space="preserve"> se realizaron </w:t>
            </w:r>
            <w:r w:rsidRPr="00C51B6B">
              <w:rPr>
                <w:rFonts w:ascii="Times New Roman" w:hAnsi="Times New Roman"/>
                <w:color w:val="000000"/>
                <w:sz w:val="20"/>
                <w:szCs w:val="20"/>
                <w:lang w:eastAsia="es-MX"/>
              </w:rPr>
              <w:t>cargo</w:t>
            </w:r>
            <w:r w:rsidR="000D038C">
              <w:rPr>
                <w:rFonts w:ascii="Times New Roman" w:hAnsi="Times New Roman"/>
                <w:color w:val="000000"/>
                <w:sz w:val="20"/>
                <w:szCs w:val="20"/>
                <w:lang w:eastAsia="es-MX"/>
              </w:rPr>
              <w:t>s</w:t>
            </w:r>
            <w:r w:rsidRPr="00C51B6B">
              <w:rPr>
                <w:rFonts w:ascii="Times New Roman" w:hAnsi="Times New Roman"/>
                <w:color w:val="000000"/>
                <w:sz w:val="20"/>
                <w:szCs w:val="20"/>
                <w:lang w:eastAsia="es-MX"/>
              </w:rPr>
              <w:t xml:space="preserve"> por concepto del Mecanismo Compensación de Adeudos aplicado al Fondo General, para la Potenciación de recursos del FEIEF, aprobado Art 7MO decret</w:t>
            </w:r>
            <w:r w:rsidR="00DF2682">
              <w:rPr>
                <w:rFonts w:ascii="Times New Roman" w:hAnsi="Times New Roman"/>
                <w:color w:val="000000"/>
                <w:sz w:val="20"/>
                <w:szCs w:val="20"/>
                <w:lang w:eastAsia="es-MX"/>
              </w:rPr>
              <w:t xml:space="preserve">o 279/13/LXII/20, según oficio </w:t>
            </w:r>
            <w:r w:rsidRPr="00C51B6B">
              <w:rPr>
                <w:rFonts w:ascii="Times New Roman" w:hAnsi="Times New Roman"/>
                <w:color w:val="000000"/>
                <w:sz w:val="20"/>
                <w:szCs w:val="20"/>
                <w:lang w:eastAsia="es-MX"/>
              </w:rPr>
              <w:t xml:space="preserve"> SHP/SI/DGIC/DPCF/</w:t>
            </w:r>
            <w:r w:rsidR="00DF2682">
              <w:rPr>
                <w:rFonts w:ascii="Times New Roman" w:hAnsi="Times New Roman"/>
                <w:color w:val="000000"/>
                <w:sz w:val="20"/>
                <w:szCs w:val="20"/>
                <w:lang w:eastAsia="es-MX"/>
              </w:rPr>
              <w:t>033/2022</w:t>
            </w:r>
            <w:r w:rsidRPr="00C51B6B">
              <w:rPr>
                <w:rFonts w:ascii="Times New Roman" w:hAnsi="Times New Roman"/>
                <w:color w:val="000000"/>
                <w:sz w:val="20"/>
                <w:szCs w:val="20"/>
                <w:lang w:eastAsia="es-MX"/>
              </w:rPr>
              <w:t>, las retenciones se efectuaron de</w:t>
            </w:r>
            <w:r w:rsidR="00DF2682">
              <w:rPr>
                <w:rFonts w:ascii="Times New Roman" w:hAnsi="Times New Roman"/>
                <w:color w:val="000000"/>
                <w:sz w:val="20"/>
                <w:szCs w:val="20"/>
                <w:lang w:eastAsia="es-MX"/>
              </w:rPr>
              <w:t xml:space="preserve"> las participaciones pagadas </w:t>
            </w:r>
            <w:r w:rsidRPr="00C51B6B">
              <w:rPr>
                <w:rFonts w:ascii="Times New Roman" w:hAnsi="Times New Roman"/>
                <w:color w:val="000000"/>
                <w:sz w:val="20"/>
                <w:szCs w:val="20"/>
                <w:lang w:eastAsia="es-MX"/>
              </w:rPr>
              <w:t xml:space="preserve"> 2022.</w:t>
            </w:r>
          </w:p>
          <w:p w:rsidR="007A5A88" w:rsidRPr="00C51B6B" w:rsidRDefault="007A5A88" w:rsidP="004D4D8A">
            <w:pPr>
              <w:autoSpaceDE w:val="0"/>
              <w:autoSpaceDN w:val="0"/>
              <w:adjustRightInd w:val="0"/>
              <w:spacing w:after="0" w:line="240" w:lineRule="auto"/>
              <w:jc w:val="both"/>
              <w:rPr>
                <w:rFonts w:ascii="Times New Roman" w:hAnsi="Times New Roman"/>
                <w:color w:val="000000"/>
                <w:sz w:val="20"/>
                <w:szCs w:val="20"/>
                <w:lang w:eastAsia="es-MX"/>
              </w:rPr>
            </w:pPr>
          </w:p>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tbl>
            <w:tblPr>
              <w:tblpPr w:leftFromText="141" w:rightFromText="141" w:vertAnchor="text" w:horzAnchor="margin" w:tblpXSpec="center" w:tblpY="-2"/>
              <w:tblOverlap w:val="never"/>
              <w:tblW w:w="0" w:type="auto"/>
              <w:tblLayout w:type="fixed"/>
              <w:tblCellMar>
                <w:left w:w="70" w:type="dxa"/>
                <w:right w:w="70" w:type="dxa"/>
              </w:tblCellMar>
              <w:tblLook w:val="04A0" w:firstRow="1" w:lastRow="0" w:firstColumn="1" w:lastColumn="0" w:noHBand="0" w:noVBand="1"/>
            </w:tblPr>
            <w:tblGrid>
              <w:gridCol w:w="2122"/>
              <w:gridCol w:w="1730"/>
            </w:tblGrid>
            <w:tr w:rsidR="004D4D8A"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Enero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4D4D8A" w:rsidRPr="00C51B6B" w:rsidRDefault="004D4D8A" w:rsidP="004D4D8A">
                  <w:pPr>
                    <w:spacing w:after="0" w:line="240" w:lineRule="auto"/>
                    <w:jc w:val="center"/>
                    <w:rPr>
                      <w:rFonts w:ascii="Times New Roman" w:hAnsi="Times New Roman"/>
                      <w:color w:val="000000"/>
                      <w:sz w:val="20"/>
                      <w:szCs w:val="20"/>
                      <w:lang w:eastAsia="es-MX"/>
                    </w:rPr>
                  </w:pPr>
                  <w:r w:rsidRPr="00C51B6B">
                    <w:rPr>
                      <w:rFonts w:ascii="Times New Roman" w:hAnsi="Times New Roman"/>
                      <w:color w:val="000000"/>
                      <w:sz w:val="20"/>
                      <w:szCs w:val="20"/>
                      <w:lang w:eastAsia="es-MX"/>
                    </w:rPr>
                    <w:t>$706,497.71</w:t>
                  </w:r>
                </w:p>
              </w:tc>
            </w:tr>
            <w:tr w:rsidR="00DF2682"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Febrero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DF2682" w:rsidRPr="00C51B6B" w:rsidRDefault="00DF2682"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$811,427.21</w:t>
                  </w:r>
                </w:p>
              </w:tc>
            </w:tr>
            <w:tr w:rsidR="00F02E77"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F02E77" w:rsidRDefault="00654865"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Marzo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F02E77" w:rsidRDefault="00654865"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$827,630.25</w:t>
                  </w:r>
                </w:p>
              </w:tc>
            </w:tr>
            <w:tr w:rsidR="00796F5A"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796F5A" w:rsidRDefault="00103027" w:rsidP="00103027">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Abril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796F5A" w:rsidRDefault="00103027"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$767,491.42</w:t>
                  </w:r>
                </w:p>
              </w:tc>
            </w:tr>
            <w:tr w:rsidR="00BD1C9B" w:rsidRPr="00C51B6B" w:rsidTr="000006C5">
              <w:trPr>
                <w:trHeight w:val="300"/>
              </w:trPr>
              <w:tc>
                <w:tcPr>
                  <w:tcW w:w="2122" w:type="dxa"/>
                  <w:tcBorders>
                    <w:top w:val="single" w:sz="4" w:space="0" w:color="auto"/>
                    <w:left w:val="single" w:sz="4" w:space="0" w:color="auto"/>
                    <w:bottom w:val="single" w:sz="4" w:space="0" w:color="auto"/>
                    <w:right w:val="single" w:sz="4" w:space="0" w:color="auto"/>
                  </w:tcBorders>
                  <w:shd w:val="clear" w:color="auto" w:fill="auto"/>
                  <w:vAlign w:val="center"/>
                </w:tcPr>
                <w:p w:rsidR="00BD1C9B" w:rsidRDefault="00BD1C9B" w:rsidP="00103027">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Mayo 2022</w:t>
                  </w:r>
                </w:p>
              </w:tc>
              <w:tc>
                <w:tcPr>
                  <w:tcW w:w="1730" w:type="dxa"/>
                  <w:tcBorders>
                    <w:top w:val="single" w:sz="4" w:space="0" w:color="auto"/>
                    <w:left w:val="nil"/>
                    <w:bottom w:val="single" w:sz="4" w:space="0" w:color="auto"/>
                    <w:right w:val="single" w:sz="4" w:space="0" w:color="auto"/>
                  </w:tcBorders>
                  <w:shd w:val="clear" w:color="auto" w:fill="auto"/>
                  <w:noWrap/>
                  <w:vAlign w:val="center"/>
                </w:tcPr>
                <w:p w:rsidR="00BD1C9B" w:rsidRDefault="00BD1C9B" w:rsidP="004D4D8A">
                  <w:pPr>
                    <w:spacing w:after="0" w:line="240" w:lineRule="auto"/>
                    <w:jc w:val="center"/>
                    <w:rPr>
                      <w:rFonts w:ascii="Times New Roman" w:hAnsi="Times New Roman"/>
                      <w:color w:val="000000"/>
                      <w:sz w:val="20"/>
                      <w:szCs w:val="20"/>
                      <w:lang w:eastAsia="es-MX"/>
                    </w:rPr>
                  </w:pPr>
                  <w:r>
                    <w:rPr>
                      <w:rFonts w:ascii="Times New Roman" w:hAnsi="Times New Roman"/>
                      <w:color w:val="000000"/>
                      <w:sz w:val="20"/>
                      <w:szCs w:val="20"/>
                      <w:lang w:eastAsia="es-MX"/>
                    </w:rPr>
                    <w:t>$0.00</w:t>
                  </w:r>
                </w:p>
              </w:tc>
            </w:tr>
          </w:tbl>
          <w:p w:rsidR="004D4D8A" w:rsidRPr="00C51B6B" w:rsidRDefault="004D4D8A" w:rsidP="004D4D8A">
            <w:pPr>
              <w:autoSpaceDE w:val="0"/>
              <w:autoSpaceDN w:val="0"/>
              <w:adjustRightInd w:val="0"/>
              <w:spacing w:after="0" w:line="240" w:lineRule="auto"/>
              <w:jc w:val="both"/>
              <w:rPr>
                <w:rFonts w:ascii="Times New Roman" w:hAnsi="Times New Roman"/>
                <w:color w:val="000000"/>
                <w:sz w:val="20"/>
                <w:szCs w:val="20"/>
                <w:lang w:eastAsia="es-MX"/>
              </w:rPr>
            </w:pPr>
          </w:p>
          <w:p w:rsidR="00B01EFA" w:rsidRDefault="00B01EFA"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DF2682" w:rsidRPr="00C51B6B" w:rsidRDefault="00DF2682" w:rsidP="009E2155">
            <w:pPr>
              <w:autoSpaceDE w:val="0"/>
              <w:autoSpaceDN w:val="0"/>
              <w:adjustRightInd w:val="0"/>
              <w:spacing w:after="0" w:line="240" w:lineRule="auto"/>
              <w:jc w:val="both"/>
              <w:rPr>
                <w:rFonts w:ascii="Times New Roman" w:hAnsi="Times New Roman"/>
                <w:color w:val="000000"/>
                <w:sz w:val="20"/>
                <w:szCs w:val="20"/>
                <w:lang w:eastAsia="es-MX"/>
              </w:rPr>
            </w:pPr>
          </w:p>
          <w:p w:rsidR="00103027" w:rsidRDefault="00103027" w:rsidP="009E2155">
            <w:pPr>
              <w:autoSpaceDE w:val="0"/>
              <w:autoSpaceDN w:val="0"/>
              <w:adjustRightInd w:val="0"/>
              <w:spacing w:after="0" w:line="240" w:lineRule="auto"/>
              <w:jc w:val="both"/>
              <w:rPr>
                <w:rFonts w:ascii="Times New Roman" w:hAnsi="Times New Roman"/>
                <w:color w:val="000000"/>
                <w:sz w:val="20"/>
                <w:szCs w:val="20"/>
                <w:lang w:eastAsia="es-MX"/>
              </w:rPr>
            </w:pPr>
          </w:p>
          <w:p w:rsidR="00B86C0A" w:rsidRDefault="00B86C0A" w:rsidP="009E2155">
            <w:pPr>
              <w:autoSpaceDE w:val="0"/>
              <w:autoSpaceDN w:val="0"/>
              <w:adjustRightInd w:val="0"/>
              <w:spacing w:after="0" w:line="240" w:lineRule="auto"/>
              <w:jc w:val="both"/>
              <w:rPr>
                <w:rFonts w:ascii="Times New Roman" w:hAnsi="Times New Roman"/>
                <w:color w:val="000000"/>
                <w:sz w:val="20"/>
                <w:szCs w:val="20"/>
                <w:lang w:eastAsia="es-MX"/>
              </w:rPr>
            </w:pPr>
          </w:p>
          <w:p w:rsidR="00BD1C9B" w:rsidRDefault="00BD1C9B" w:rsidP="009E2155">
            <w:pPr>
              <w:autoSpaceDE w:val="0"/>
              <w:autoSpaceDN w:val="0"/>
              <w:adjustRightInd w:val="0"/>
              <w:spacing w:after="0" w:line="240" w:lineRule="auto"/>
              <w:jc w:val="both"/>
              <w:rPr>
                <w:rFonts w:ascii="Times New Roman" w:hAnsi="Times New Roman"/>
                <w:color w:val="000000"/>
                <w:sz w:val="20"/>
                <w:szCs w:val="20"/>
                <w:lang w:eastAsia="es-MX"/>
              </w:rPr>
            </w:pPr>
          </w:p>
          <w:p w:rsidR="009C2FD1" w:rsidRPr="00C51B6B" w:rsidRDefault="004A2601" w:rsidP="009E2155">
            <w:pPr>
              <w:autoSpaceDE w:val="0"/>
              <w:autoSpaceDN w:val="0"/>
              <w:adjustRightInd w:val="0"/>
              <w:spacing w:after="0" w:line="240" w:lineRule="auto"/>
              <w:jc w:val="both"/>
              <w:rPr>
                <w:rFonts w:ascii="Times New Roman" w:hAnsi="Times New Roman"/>
                <w:color w:val="000000"/>
                <w:sz w:val="20"/>
                <w:szCs w:val="20"/>
                <w:lang w:eastAsia="es-MX"/>
              </w:rPr>
            </w:pPr>
            <w:r>
              <w:rPr>
                <w:rFonts w:ascii="Times New Roman" w:hAnsi="Times New Roman"/>
                <w:color w:val="000000"/>
                <w:sz w:val="20"/>
                <w:szCs w:val="20"/>
                <w:lang w:eastAsia="es-MX"/>
              </w:rPr>
              <w:t>El Instituto para la P</w:t>
            </w:r>
            <w:r w:rsidR="00213A5A" w:rsidRPr="00C51B6B">
              <w:rPr>
                <w:rFonts w:ascii="Times New Roman" w:hAnsi="Times New Roman"/>
                <w:color w:val="000000"/>
                <w:sz w:val="20"/>
                <w:szCs w:val="20"/>
                <w:lang w:eastAsia="es-MX"/>
              </w:rPr>
              <w:t>rotección al Ahorro Bancario (IPAB) informa que ha iniciado el proceso de liquidación de Accendo Banco, S.A Institución de Banca Múltiple, por lo que se están tomando las medidas Institucionales y legales para la recuperación del saldo Bancario existente en</w:t>
            </w:r>
            <w:r w:rsidR="009C2FD1" w:rsidRPr="00C51B6B">
              <w:rPr>
                <w:rFonts w:ascii="Times New Roman" w:hAnsi="Times New Roman"/>
                <w:color w:val="000000"/>
                <w:sz w:val="20"/>
                <w:szCs w:val="20"/>
                <w:lang w:eastAsia="es-MX"/>
              </w:rPr>
              <w:t xml:space="preserve"> la institución en liquidación.</w:t>
            </w:r>
          </w:p>
          <w:p w:rsidR="000A517F" w:rsidRPr="00C51B6B" w:rsidRDefault="000A517F"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02273" w:rsidRDefault="000E761D" w:rsidP="009E2155">
            <w:pPr>
              <w:autoSpaceDE w:val="0"/>
              <w:autoSpaceDN w:val="0"/>
              <w:adjustRightInd w:val="0"/>
              <w:spacing w:after="0" w:line="240" w:lineRule="auto"/>
              <w:jc w:val="both"/>
              <w:rPr>
                <w:rFonts w:ascii="Times New Roman" w:hAnsi="Times New Roman"/>
                <w:b/>
                <w:bCs/>
                <w:color w:val="000000"/>
                <w:sz w:val="20"/>
                <w:szCs w:val="20"/>
                <w:u w:val="single"/>
                <w:lang w:eastAsia="es-MX"/>
              </w:rPr>
            </w:pPr>
            <w:r w:rsidRPr="00C51B6B">
              <w:rPr>
                <w:rFonts w:ascii="Times New Roman" w:hAnsi="Times New Roman"/>
                <w:b/>
                <w:bCs/>
                <w:color w:val="000000"/>
                <w:sz w:val="20"/>
                <w:szCs w:val="20"/>
                <w:lang w:eastAsia="es-MX"/>
              </w:rPr>
              <w:t>Derechos a Recibir Efectivo y Equivalentes</w:t>
            </w:r>
            <w:r w:rsidR="00BD1C9B">
              <w:rPr>
                <w:rFonts w:ascii="Times New Roman" w:hAnsi="Times New Roman"/>
                <w:b/>
                <w:bCs/>
                <w:color w:val="000000"/>
                <w:sz w:val="20"/>
                <w:szCs w:val="20"/>
                <w:lang w:eastAsia="es-MX"/>
              </w:rPr>
              <w:t xml:space="preserve">: </w:t>
            </w:r>
            <w:r w:rsidR="00BD1C9B" w:rsidRPr="00BD1C9B">
              <w:rPr>
                <w:rFonts w:ascii="Times New Roman" w:hAnsi="Times New Roman"/>
                <w:b/>
                <w:bCs/>
                <w:color w:val="000000"/>
                <w:sz w:val="20"/>
                <w:szCs w:val="20"/>
                <w:u w:val="single"/>
                <w:lang w:eastAsia="es-MX"/>
              </w:rPr>
              <w:t>$12,493,002.64</w:t>
            </w:r>
          </w:p>
          <w:p w:rsidR="00BD1C9B" w:rsidRPr="00C51B6B" w:rsidRDefault="00BD1C9B" w:rsidP="009E2155">
            <w:pPr>
              <w:autoSpaceDE w:val="0"/>
              <w:autoSpaceDN w:val="0"/>
              <w:adjustRightInd w:val="0"/>
              <w:spacing w:after="0" w:line="240" w:lineRule="auto"/>
              <w:jc w:val="both"/>
              <w:rPr>
                <w:rFonts w:ascii="Times New Roman" w:hAnsi="Times New Roman"/>
                <w:color w:val="000000"/>
                <w:sz w:val="20"/>
                <w:szCs w:val="20"/>
                <w:lang w:eastAsia="es-MX"/>
              </w:rPr>
            </w:pPr>
          </w:p>
          <w:p w:rsidR="00EF5F41"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Se integra de los derechos  de cobro derivados de cheques devueltos de cont</w:t>
            </w:r>
            <w:r w:rsidR="007A4D55" w:rsidRPr="00C51B6B">
              <w:rPr>
                <w:rFonts w:ascii="Times New Roman" w:hAnsi="Times New Roman"/>
                <w:color w:val="000000"/>
                <w:sz w:val="20"/>
                <w:szCs w:val="20"/>
                <w:lang w:eastAsia="es-MX"/>
              </w:rPr>
              <w:t>ribuyentes y deudores diversos.</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8784" w:type="dxa"/>
              <w:tblLayout w:type="fixed"/>
              <w:tblCellMar>
                <w:left w:w="70" w:type="dxa"/>
                <w:right w:w="70" w:type="dxa"/>
              </w:tblCellMar>
              <w:tblLook w:val="04A0" w:firstRow="1" w:lastRow="0" w:firstColumn="1" w:lastColumn="0" w:noHBand="0" w:noVBand="1"/>
            </w:tblPr>
            <w:tblGrid>
              <w:gridCol w:w="6799"/>
              <w:gridCol w:w="1985"/>
            </w:tblGrid>
            <w:tr w:rsidR="00BD1C9B"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b/>
                      <w:bCs/>
                      <w:color w:val="000000"/>
                      <w:sz w:val="20"/>
                      <w:szCs w:val="20"/>
                    </w:rPr>
                  </w:pPr>
                  <w:r w:rsidRPr="00BD1C9B">
                    <w:rPr>
                      <w:rFonts w:ascii="Times New Roman" w:hAnsi="Times New Roman"/>
                      <w:b/>
                      <w:bCs/>
                      <w:color w:val="000000"/>
                      <w:sz w:val="20"/>
                      <w:szCs w:val="20"/>
                    </w:rPr>
                    <w:t>CUENTAS POR COBRAR A CORTO PLAZO</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b/>
                      <w:bCs/>
                      <w:color w:val="000000"/>
                      <w:sz w:val="20"/>
                      <w:szCs w:val="20"/>
                      <w:u w:val="single"/>
                    </w:rPr>
                  </w:pPr>
                  <w:r w:rsidRPr="00BD1C9B">
                    <w:rPr>
                      <w:rFonts w:ascii="Times New Roman" w:hAnsi="Times New Roman"/>
                      <w:b/>
                      <w:bCs/>
                      <w:color w:val="000000"/>
                      <w:sz w:val="20"/>
                      <w:szCs w:val="20"/>
                      <w:u w:val="single"/>
                    </w:rPr>
                    <w:t>$0.02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EMP30490 CARMEN GABRIELA RODRIGUEZ TOSCANO</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$0.02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EMP28924 JOSE DAVID ESTRADA RUIZ VELASCO</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$0.02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EMP32471 MIGUEL EDMUNDO VERGARA VILLA</w:t>
                  </w:r>
                </w:p>
              </w:tc>
              <w:tc>
                <w:tcPr>
                  <w:tcW w:w="1985" w:type="dxa"/>
                  <w:tcBorders>
                    <w:top w:val="nil"/>
                    <w:left w:val="nil"/>
                    <w:bottom w:val="single" w:sz="4" w:space="0" w:color="auto"/>
                    <w:right w:val="single" w:sz="4" w:space="0" w:color="auto"/>
                  </w:tcBorders>
                  <w:shd w:val="clear" w:color="auto" w:fill="auto"/>
                  <w:noWrap/>
                  <w:vAlign w:val="center"/>
                </w:tcPr>
                <w:p w:rsidR="00BD1C9B" w:rsidRPr="000006C5" w:rsidRDefault="00BD1C9B" w:rsidP="00BD1C9B">
                  <w:pPr>
                    <w:spacing w:after="0"/>
                    <w:jc w:val="right"/>
                    <w:rPr>
                      <w:rFonts w:ascii="Times New Roman" w:hAnsi="Times New Roman"/>
                      <w:sz w:val="20"/>
                      <w:szCs w:val="20"/>
                    </w:rPr>
                  </w:pPr>
                  <w:r w:rsidRPr="000006C5">
                    <w:rPr>
                      <w:rFonts w:ascii="Times New Roman" w:hAnsi="Times New Roman"/>
                      <w:sz w:val="20"/>
                      <w:szCs w:val="20"/>
                    </w:rPr>
                    <w:t>-$0.02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CON256637 CRISTINA CARDENAS ENRIQUEZ</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$0.00</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CON684832 SALVADOR AZIOS GONZALEZ</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$0.00</w:t>
                  </w:r>
                </w:p>
              </w:tc>
            </w:tr>
            <w:tr w:rsidR="000E3107" w:rsidRPr="00C51B6B" w:rsidTr="000006C5">
              <w:trPr>
                <w:trHeight w:val="316"/>
              </w:trPr>
              <w:tc>
                <w:tcPr>
                  <w:tcW w:w="6799" w:type="dxa"/>
                  <w:tcBorders>
                    <w:top w:val="single" w:sz="4" w:space="0" w:color="auto"/>
                    <w:bottom w:val="single" w:sz="4" w:space="0" w:color="auto"/>
                  </w:tcBorders>
                  <w:shd w:val="clear" w:color="auto" w:fill="auto"/>
                  <w:noWrap/>
                  <w:vAlign w:val="center"/>
                </w:tcPr>
                <w:p w:rsidR="00C25BF5" w:rsidRPr="00C51B6B" w:rsidRDefault="00C25BF5" w:rsidP="000E3107">
                  <w:pPr>
                    <w:spacing w:after="0" w:line="240" w:lineRule="auto"/>
                    <w:contextualSpacing/>
                    <w:rPr>
                      <w:rFonts w:ascii="Times New Roman" w:eastAsia="Times New Roman" w:hAnsi="Times New Roman"/>
                      <w:color w:val="000000"/>
                      <w:sz w:val="20"/>
                      <w:szCs w:val="20"/>
                      <w:lang w:eastAsia="es-MX"/>
                    </w:rPr>
                  </w:pPr>
                </w:p>
              </w:tc>
              <w:tc>
                <w:tcPr>
                  <w:tcW w:w="1985" w:type="dxa"/>
                  <w:tcBorders>
                    <w:top w:val="single" w:sz="4" w:space="0" w:color="auto"/>
                    <w:bottom w:val="single" w:sz="4" w:space="0" w:color="auto"/>
                  </w:tcBorders>
                  <w:shd w:val="clear" w:color="auto" w:fill="auto"/>
                  <w:noWrap/>
                </w:tcPr>
                <w:p w:rsidR="000E3107" w:rsidRPr="00C51B6B" w:rsidRDefault="000E3107" w:rsidP="000E3107">
                  <w:pPr>
                    <w:rPr>
                      <w:rFonts w:ascii="Times New Roman" w:hAnsi="Times New Roman"/>
                      <w:sz w:val="20"/>
                      <w:szCs w:val="20"/>
                    </w:rPr>
                  </w:pPr>
                </w:p>
              </w:tc>
            </w:tr>
            <w:tr w:rsidR="00BD1C9B"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b/>
                      <w:bCs/>
                      <w:color w:val="000000"/>
                      <w:sz w:val="20"/>
                      <w:szCs w:val="20"/>
                    </w:rPr>
                  </w:pPr>
                  <w:r w:rsidRPr="00BD1C9B">
                    <w:rPr>
                      <w:rFonts w:ascii="Times New Roman" w:hAnsi="Times New Roman"/>
                      <w:b/>
                      <w:bCs/>
                      <w:color w:val="000000"/>
                      <w:sz w:val="20"/>
                      <w:szCs w:val="20"/>
                    </w:rPr>
                    <w:t>CHEQUES DEVUELTOS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b/>
                      <w:bCs/>
                      <w:color w:val="000000"/>
                      <w:sz w:val="20"/>
                      <w:szCs w:val="20"/>
                      <w:u w:val="single"/>
                    </w:rPr>
                  </w:pPr>
                  <w:r w:rsidRPr="00BD1C9B">
                    <w:rPr>
                      <w:rFonts w:ascii="Times New Roman" w:hAnsi="Times New Roman"/>
                      <w:b/>
                      <w:bCs/>
                      <w:color w:val="000000"/>
                      <w:sz w:val="20"/>
                      <w:szCs w:val="20"/>
                      <w:u w:val="single"/>
                    </w:rPr>
                    <w:t>$8,051,907.36</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CON493912 NOTARIA VEINTINUEVE DE GUADALAJA, S.C.</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$58,372.31</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CON303487 RODOLFO RAMOS MENCHACA</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$75,824.59</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CON651450 ALFONSO ORTEGA PADILLA</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$4,381.00</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CON234828 RAFAEL OLAVARRIETA ROMERO</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$52,566.50</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lastRenderedPageBreak/>
                    <w:t>CON335429 WALTER DE JESUS PEREZ MADRIGAL</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$276,842.74</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CON069252 ELENO VEGA GUERRERO</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$25,684.37</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CON097500 UNIVERSIDAD DE GUADALAJARA TEATRO DIANA</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$1,369,864.56</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CON290288 JOSE MIGUEL SANCHEZ LOPEZ</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$35,097.21</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CON190728 SCOTIABANK INVERLAT SA</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$27,142.32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CON227074 D+D ARQUITECTOS S. DE R.L. DE C.V.</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$123,604.22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CON236029 ALFREDO JUVENAL RAMOS GOMEZ</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$28,393.08</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CON290269 JUAN HERNANDEZ RIVAS</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$84,569.00</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CON651457 MARIA GUADALUPE SERRANO HERNANDEZ Y CDO</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$462,484.82</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CON074548 JOSE ANTONIO RIOS CAMPUZANO</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$50,000.00</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CON074579 PROMOTORA UG S.A. DE C.V.</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$117,000.00</w:t>
                  </w:r>
                </w:p>
              </w:tc>
            </w:tr>
            <w:tr w:rsidR="00BD1C9B"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CON494985 VALDEZ ANGUIANO Y ASOCIADOS, S.C.</w:t>
                  </w:r>
                </w:p>
              </w:tc>
              <w:tc>
                <w:tcPr>
                  <w:tcW w:w="1985" w:type="dxa"/>
                  <w:tcBorders>
                    <w:top w:val="nil"/>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$32,468.55</w:t>
                  </w:r>
                </w:p>
              </w:tc>
            </w:tr>
            <w:tr w:rsidR="00BD1C9B"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CON072059 ANGEL JASIEL AHEDO G</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$30,999.97</w:t>
                  </w:r>
                </w:p>
              </w:tc>
            </w:tr>
            <w:tr w:rsidR="00BD1C9B"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CON072047 INGENIERIAS Y SISTEM</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$5,000,000.00</w:t>
                  </w:r>
                </w:p>
              </w:tc>
            </w:tr>
            <w:tr w:rsidR="00BD1C9B"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CON072074 JHONATAN JORGE ANTONIO VELAZQUEZ COVARRUBIAS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$148,300.12</w:t>
                  </w:r>
                </w:p>
              </w:tc>
            </w:tr>
            <w:tr w:rsidR="00BD1C9B"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D1C9B" w:rsidRPr="00BD1C9B" w:rsidRDefault="00BD1C9B" w:rsidP="00BD1C9B">
                  <w:pPr>
                    <w:spacing w:after="0"/>
                    <w:rPr>
                      <w:rFonts w:ascii="Times New Roman" w:hAnsi="Times New Roman"/>
                      <w:color w:val="000000"/>
                      <w:sz w:val="20"/>
                      <w:szCs w:val="20"/>
                    </w:rPr>
                  </w:pPr>
                  <w:r w:rsidRPr="00BD1C9B">
                    <w:rPr>
                      <w:rFonts w:ascii="Times New Roman" w:hAnsi="Times New Roman"/>
                      <w:color w:val="000000"/>
                      <w:sz w:val="20"/>
                      <w:szCs w:val="20"/>
                    </w:rPr>
                    <w:t>CON127706 RAFAEL CASTELLANOS</w:t>
                  </w:r>
                </w:p>
              </w:tc>
              <w:tc>
                <w:tcPr>
                  <w:tcW w:w="1985" w:type="dxa"/>
                  <w:tcBorders>
                    <w:top w:val="single" w:sz="4" w:space="0" w:color="auto"/>
                    <w:left w:val="nil"/>
                    <w:bottom w:val="single" w:sz="4" w:space="0" w:color="auto"/>
                    <w:right w:val="single" w:sz="4" w:space="0" w:color="auto"/>
                  </w:tcBorders>
                  <w:shd w:val="clear" w:color="auto" w:fill="auto"/>
                  <w:noWrap/>
                  <w:vAlign w:val="center"/>
                </w:tcPr>
                <w:p w:rsidR="00BD1C9B" w:rsidRPr="00BD1C9B" w:rsidRDefault="00BD1C9B" w:rsidP="00BD1C9B">
                  <w:pPr>
                    <w:spacing w:after="0"/>
                    <w:jc w:val="right"/>
                    <w:rPr>
                      <w:rFonts w:ascii="Times New Roman" w:hAnsi="Times New Roman"/>
                      <w:color w:val="000000"/>
                      <w:sz w:val="20"/>
                      <w:szCs w:val="20"/>
                    </w:rPr>
                  </w:pPr>
                  <w:r w:rsidRPr="00BD1C9B">
                    <w:rPr>
                      <w:rFonts w:ascii="Times New Roman" w:hAnsi="Times New Roman"/>
                      <w:color w:val="000000"/>
                      <w:sz w:val="20"/>
                      <w:szCs w:val="20"/>
                    </w:rPr>
                    <w:t>$48,312.00</w:t>
                  </w:r>
                </w:p>
              </w:tc>
            </w:tr>
          </w:tbl>
          <w:p w:rsidR="000A517F" w:rsidRPr="00C51B6B" w:rsidRDefault="000A517F" w:rsidP="00103027">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9E2155"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DEUDORES DIVERSOS POR COBRAR A CORTO PLAZO</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BD1C9B" w:rsidRPr="00C51B6B" w:rsidTr="000006C5">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FONDOS REVOLVENTES</w:t>
                  </w:r>
                </w:p>
              </w:tc>
              <w:tc>
                <w:tcPr>
                  <w:tcW w:w="1116" w:type="pct"/>
                  <w:tcBorders>
                    <w:top w:val="single" w:sz="4" w:space="0" w:color="auto"/>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$660,001.00</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GASTOS A COMPROBAR</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$2,556,362.25</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CRIPTAS A EMPLEADOS MUNICIPALES</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$8,424.36</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DEDUCIBLES DE SINIESTROS POR COBRAR A EMPLEADOS</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$302,506.87</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FALTANTES DE CAJEROS</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$211,639.27</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DEUDORES DIVERSOS</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$90,543.94</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DOCUMENTOS EN PODER DE SINDICATURA (2004-2006)</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$348,809.72</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IMPUESTOS ANTICIPADOS</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$262,807.86</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color w:val="000000"/>
                      <w:sz w:val="20"/>
                      <w:szCs w:val="20"/>
                    </w:rPr>
                  </w:pPr>
                  <w:r w:rsidRPr="00752B00">
                    <w:rPr>
                      <w:rFonts w:ascii="Times New Roman" w:hAnsi="Times New Roman"/>
                      <w:color w:val="000000"/>
                      <w:sz w:val="20"/>
                      <w:szCs w:val="20"/>
                    </w:rPr>
                    <w:t>PRESTAMOS OPD´S</w:t>
                  </w:r>
                </w:p>
              </w:tc>
              <w:tc>
                <w:tcPr>
                  <w:tcW w:w="1116" w:type="pct"/>
                  <w:tcBorders>
                    <w:top w:val="nil"/>
                    <w:left w:val="nil"/>
                    <w:bottom w:val="single" w:sz="4" w:space="0" w:color="auto"/>
                    <w:right w:val="single" w:sz="4" w:space="0" w:color="auto"/>
                  </w:tcBorders>
                  <w:shd w:val="clear" w:color="auto" w:fill="auto"/>
                  <w:noWrap/>
                  <w:vAlign w:val="center"/>
                </w:tcPr>
                <w:p w:rsidR="00BD1C9B" w:rsidRPr="00752B00" w:rsidRDefault="00BD1C9B"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$0.00</w:t>
                  </w:r>
                </w:p>
              </w:tc>
            </w:tr>
            <w:tr w:rsidR="00BD1C9B"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vAlign w:val="center"/>
                  <w:hideMark/>
                </w:tcPr>
                <w:p w:rsidR="00BD1C9B" w:rsidRPr="00752B00" w:rsidRDefault="00BD1C9B" w:rsidP="00752B00">
                  <w:pPr>
                    <w:spacing w:after="0"/>
                    <w:rPr>
                      <w:rFonts w:ascii="Times New Roman" w:hAnsi="Times New Roman"/>
                      <w:b/>
                      <w:bCs/>
                      <w:color w:val="000000"/>
                      <w:sz w:val="20"/>
                      <w:szCs w:val="20"/>
                    </w:rPr>
                  </w:pPr>
                  <w:r w:rsidRPr="00752B00">
                    <w:rPr>
                      <w:rFonts w:ascii="Times New Roman" w:hAnsi="Times New Roman"/>
                      <w:b/>
                      <w:bCs/>
                      <w:color w:val="000000"/>
                      <w:sz w:val="20"/>
                      <w:szCs w:val="20"/>
                    </w:rPr>
                    <w:t>TOTAL</w:t>
                  </w:r>
                </w:p>
              </w:tc>
              <w:tc>
                <w:tcPr>
                  <w:tcW w:w="1116" w:type="pct"/>
                  <w:tcBorders>
                    <w:top w:val="nil"/>
                    <w:left w:val="nil"/>
                    <w:bottom w:val="single" w:sz="4" w:space="0" w:color="auto"/>
                    <w:right w:val="single" w:sz="4" w:space="0" w:color="auto"/>
                  </w:tcBorders>
                  <w:shd w:val="clear" w:color="auto" w:fill="auto"/>
                  <w:noWrap/>
                  <w:vAlign w:val="center"/>
                  <w:hideMark/>
                </w:tcPr>
                <w:p w:rsidR="00BD1C9B" w:rsidRPr="00752B00" w:rsidRDefault="00BD1C9B" w:rsidP="00752B00">
                  <w:pPr>
                    <w:spacing w:after="0"/>
                    <w:jc w:val="right"/>
                    <w:rPr>
                      <w:rFonts w:ascii="Times New Roman" w:hAnsi="Times New Roman"/>
                      <w:b/>
                      <w:bCs/>
                      <w:color w:val="000000"/>
                      <w:sz w:val="20"/>
                      <w:szCs w:val="20"/>
                      <w:u w:val="single"/>
                    </w:rPr>
                  </w:pPr>
                  <w:r w:rsidRPr="00752B00">
                    <w:rPr>
                      <w:rFonts w:ascii="Times New Roman" w:hAnsi="Times New Roman"/>
                      <w:b/>
                      <w:bCs/>
                      <w:color w:val="000000"/>
                      <w:sz w:val="20"/>
                      <w:szCs w:val="20"/>
                      <w:u w:val="single"/>
                    </w:rPr>
                    <w:t>$4,441,095.27</w:t>
                  </w:r>
                </w:p>
              </w:tc>
            </w:tr>
          </w:tbl>
          <w:p w:rsidR="00CE1410" w:rsidRDefault="00CE1410" w:rsidP="00E80680">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DEUDORES POR ANTICIPOS DE LA TESORERIA A CORTO PLAZO</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0006C5">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9A6115" w:rsidP="009A6115">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DDI0013 SECRETARIA DE  PRESUPUESTO ADMI</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B86C0A" w:rsidP="009A6115">
                  <w:pPr>
                    <w:spacing w:after="0" w:line="240" w:lineRule="auto"/>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w:t>
                  </w:r>
                  <w:r w:rsidR="000E761D" w:rsidRPr="00C51B6B">
                    <w:rPr>
                      <w:rFonts w:ascii="Times New Roman" w:eastAsia="Times New Roman" w:hAnsi="Times New Roman"/>
                      <w:color w:val="000000"/>
                      <w:sz w:val="20"/>
                      <w:szCs w:val="20"/>
                      <w:lang w:eastAsia="es-MX"/>
                    </w:rPr>
                    <w:t>0.00</w:t>
                  </w:r>
                </w:p>
              </w:tc>
            </w:tr>
            <w:tr w:rsidR="000E761D" w:rsidRPr="00C51B6B" w:rsidTr="000006C5">
              <w:tc>
                <w:tcPr>
                  <w:tcW w:w="3885" w:type="pct"/>
                  <w:tcBorders>
                    <w:top w:val="single" w:sz="6" w:space="0" w:color="auto"/>
                    <w:left w:val="single" w:sz="6" w:space="0" w:color="auto"/>
                    <w:bottom w:val="single" w:sz="6" w:space="0" w:color="auto"/>
                    <w:right w:val="single" w:sz="6" w:space="0" w:color="auto"/>
                  </w:tcBorders>
                </w:tcPr>
                <w:p w:rsidR="000E761D" w:rsidRPr="00C51B6B" w:rsidRDefault="000E761D" w:rsidP="009E2155">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TOTAL</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923057" w:rsidP="009E2155">
                  <w:pPr>
                    <w:autoSpaceDE w:val="0"/>
                    <w:autoSpaceDN w:val="0"/>
                    <w:adjustRightInd w:val="0"/>
                    <w:spacing w:after="0" w:line="240" w:lineRule="auto"/>
                    <w:jc w:val="right"/>
                    <w:rPr>
                      <w:rFonts w:ascii="Times New Roman" w:hAnsi="Times New Roman"/>
                      <w:b/>
                      <w:bCs/>
                      <w:sz w:val="20"/>
                      <w:szCs w:val="20"/>
                      <w:u w:val="single"/>
                      <w:lang w:eastAsia="es-MX"/>
                    </w:rPr>
                  </w:pPr>
                  <w:r w:rsidRPr="00C51B6B">
                    <w:rPr>
                      <w:rFonts w:ascii="Times New Roman" w:hAnsi="Times New Roman"/>
                      <w:b/>
                      <w:bCs/>
                      <w:color w:val="000000"/>
                      <w:sz w:val="20"/>
                      <w:szCs w:val="20"/>
                      <w:u w:val="single"/>
                      <w:lang w:eastAsia="es-MX"/>
                    </w:rPr>
                    <w:t>$</w:t>
                  </w:r>
                  <w:r w:rsidR="000E761D" w:rsidRPr="00C51B6B">
                    <w:rPr>
                      <w:rFonts w:ascii="Times New Roman" w:hAnsi="Times New Roman"/>
                      <w:b/>
                      <w:bCs/>
                      <w:color w:val="000000"/>
                      <w:sz w:val="20"/>
                      <w:szCs w:val="20"/>
                      <w:u w:val="single"/>
                      <w:lang w:eastAsia="es-MX"/>
                    </w:rPr>
                    <w:t>0.00</w:t>
                  </w:r>
                </w:p>
              </w:tc>
            </w:tr>
          </w:tbl>
          <w:p w:rsidR="00DF2682" w:rsidRPr="00C51B6B" w:rsidRDefault="00DF2682" w:rsidP="000E72A3">
            <w:pPr>
              <w:autoSpaceDE w:val="0"/>
              <w:autoSpaceDN w:val="0"/>
              <w:adjustRightInd w:val="0"/>
              <w:spacing w:after="0" w:line="240" w:lineRule="auto"/>
              <w:jc w:val="both"/>
              <w:rPr>
                <w:rFonts w:ascii="Times New Roman" w:hAnsi="Times New Roman"/>
                <w:b/>
                <w:bCs/>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DERECHOS A RECIBIR BIENES O SERVICIOS</w:t>
            </w:r>
            <w:r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ab/>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752B00" w:rsidRPr="00C51B6B" w:rsidTr="000006C5">
              <w:tc>
                <w:tcPr>
                  <w:tcW w:w="3885" w:type="pct"/>
                  <w:tcBorders>
                    <w:top w:val="single" w:sz="6" w:space="0" w:color="auto"/>
                    <w:left w:val="single" w:sz="6" w:space="0" w:color="auto"/>
                    <w:bottom w:val="single" w:sz="6" w:space="0" w:color="auto"/>
                    <w:right w:val="single" w:sz="6" w:space="0" w:color="auto"/>
                  </w:tcBorders>
                  <w:vAlign w:val="center"/>
                </w:tcPr>
                <w:p w:rsidR="00752B00" w:rsidRPr="00752B00" w:rsidRDefault="00752B00" w:rsidP="00752B00">
                  <w:pPr>
                    <w:spacing w:after="0"/>
                    <w:rPr>
                      <w:rFonts w:ascii="Times New Roman" w:hAnsi="Times New Roman"/>
                      <w:color w:val="000000"/>
                      <w:sz w:val="20"/>
                      <w:szCs w:val="20"/>
                    </w:rPr>
                  </w:pPr>
                  <w:r w:rsidRPr="00752B00">
                    <w:rPr>
                      <w:rFonts w:ascii="Times New Roman" w:hAnsi="Times New Roman"/>
                      <w:color w:val="000000"/>
                      <w:sz w:val="20"/>
                      <w:szCs w:val="20"/>
                    </w:rPr>
                    <w:t>OTROS DERECHOS A RECIBIR BIENES O SERVICIOS A CORTO PLAZO</w:t>
                  </w:r>
                </w:p>
              </w:tc>
              <w:tc>
                <w:tcPr>
                  <w:tcW w:w="1115" w:type="pct"/>
                  <w:tcBorders>
                    <w:top w:val="single" w:sz="6" w:space="0" w:color="auto"/>
                    <w:left w:val="nil"/>
                    <w:bottom w:val="single" w:sz="6" w:space="0" w:color="auto"/>
                    <w:right w:val="single" w:sz="6" w:space="0" w:color="auto"/>
                  </w:tcBorders>
                  <w:vAlign w:val="center"/>
                </w:tcPr>
                <w:p w:rsidR="00752B00" w:rsidRPr="00752B00" w:rsidRDefault="00752B00"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$0.00</w:t>
                  </w:r>
                </w:p>
              </w:tc>
            </w:tr>
            <w:tr w:rsidR="00752B00" w:rsidRPr="00C51B6B" w:rsidTr="000006C5">
              <w:tc>
                <w:tcPr>
                  <w:tcW w:w="3885" w:type="pct"/>
                  <w:tcBorders>
                    <w:top w:val="single" w:sz="6" w:space="0" w:color="auto"/>
                    <w:left w:val="single" w:sz="6" w:space="0" w:color="auto"/>
                    <w:bottom w:val="single" w:sz="6" w:space="0" w:color="auto"/>
                    <w:right w:val="single" w:sz="6" w:space="0" w:color="auto"/>
                  </w:tcBorders>
                  <w:vAlign w:val="center"/>
                </w:tcPr>
                <w:p w:rsidR="00752B00" w:rsidRPr="00752B00" w:rsidRDefault="00752B00" w:rsidP="00752B00">
                  <w:pPr>
                    <w:spacing w:after="0"/>
                    <w:rPr>
                      <w:rFonts w:ascii="Times New Roman" w:hAnsi="Times New Roman"/>
                      <w:color w:val="000000"/>
                      <w:sz w:val="20"/>
                      <w:szCs w:val="20"/>
                    </w:rPr>
                  </w:pPr>
                  <w:r w:rsidRPr="00752B00">
                    <w:rPr>
                      <w:rFonts w:ascii="Times New Roman" w:hAnsi="Times New Roman"/>
                      <w:color w:val="000000"/>
                      <w:sz w:val="20"/>
                      <w:szCs w:val="20"/>
                    </w:rPr>
                    <w:t>ANTICIPO A PROVEEDORES POR ADQUSICION DE BIENES Y PRESTACION DE SERVICIOS A CORTO PLAZO</w:t>
                  </w:r>
                </w:p>
              </w:tc>
              <w:tc>
                <w:tcPr>
                  <w:tcW w:w="1115" w:type="pct"/>
                  <w:tcBorders>
                    <w:top w:val="single" w:sz="6" w:space="0" w:color="auto"/>
                    <w:left w:val="nil"/>
                    <w:bottom w:val="single" w:sz="6" w:space="0" w:color="auto"/>
                    <w:right w:val="single" w:sz="6" w:space="0" w:color="auto"/>
                  </w:tcBorders>
                  <w:vAlign w:val="center"/>
                </w:tcPr>
                <w:p w:rsidR="00752B00" w:rsidRPr="00752B00" w:rsidRDefault="00752B00"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$53,378,854.23</w:t>
                  </w:r>
                </w:p>
              </w:tc>
            </w:tr>
            <w:tr w:rsidR="00752B00" w:rsidRPr="00C51B6B" w:rsidTr="000006C5">
              <w:tc>
                <w:tcPr>
                  <w:tcW w:w="3885" w:type="pct"/>
                  <w:tcBorders>
                    <w:top w:val="single" w:sz="6" w:space="0" w:color="auto"/>
                    <w:left w:val="single" w:sz="6" w:space="0" w:color="auto"/>
                    <w:bottom w:val="single" w:sz="6" w:space="0" w:color="auto"/>
                    <w:right w:val="single" w:sz="6" w:space="0" w:color="auto"/>
                  </w:tcBorders>
                  <w:vAlign w:val="center"/>
                </w:tcPr>
                <w:p w:rsidR="00752B00" w:rsidRPr="00752B00" w:rsidRDefault="00752B00" w:rsidP="00752B00">
                  <w:pPr>
                    <w:spacing w:after="0"/>
                    <w:rPr>
                      <w:rFonts w:ascii="Times New Roman" w:hAnsi="Times New Roman"/>
                      <w:color w:val="000000"/>
                      <w:sz w:val="20"/>
                      <w:szCs w:val="20"/>
                    </w:rPr>
                  </w:pPr>
                  <w:r w:rsidRPr="00752B00">
                    <w:rPr>
                      <w:rFonts w:ascii="Times New Roman" w:hAnsi="Times New Roman"/>
                      <w:color w:val="000000"/>
                      <w:sz w:val="20"/>
                      <w:szCs w:val="20"/>
                    </w:rPr>
                    <w:t>ANTICIPO A PROVEEDORES POR ADQUISICION DE BIENES INMUEBLES Y MUEBLES A CORTO PLAZO</w:t>
                  </w:r>
                </w:p>
              </w:tc>
              <w:tc>
                <w:tcPr>
                  <w:tcW w:w="1115" w:type="pct"/>
                  <w:tcBorders>
                    <w:top w:val="single" w:sz="6" w:space="0" w:color="auto"/>
                    <w:left w:val="nil"/>
                    <w:bottom w:val="single" w:sz="6" w:space="0" w:color="auto"/>
                    <w:right w:val="single" w:sz="6" w:space="0" w:color="auto"/>
                  </w:tcBorders>
                  <w:vAlign w:val="center"/>
                </w:tcPr>
                <w:p w:rsidR="00752B00" w:rsidRPr="00752B00" w:rsidRDefault="00752B00"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$7,415,669.75</w:t>
                  </w:r>
                </w:p>
              </w:tc>
            </w:tr>
            <w:tr w:rsidR="00752B00" w:rsidRPr="00C51B6B" w:rsidTr="000006C5">
              <w:tc>
                <w:tcPr>
                  <w:tcW w:w="3885" w:type="pct"/>
                  <w:tcBorders>
                    <w:top w:val="single" w:sz="6" w:space="0" w:color="auto"/>
                    <w:left w:val="single" w:sz="6" w:space="0" w:color="auto"/>
                    <w:bottom w:val="single" w:sz="6" w:space="0" w:color="auto"/>
                    <w:right w:val="single" w:sz="6" w:space="0" w:color="auto"/>
                  </w:tcBorders>
                  <w:vAlign w:val="center"/>
                </w:tcPr>
                <w:p w:rsidR="00752B00" w:rsidRPr="00752B00" w:rsidRDefault="00752B00" w:rsidP="00752B00">
                  <w:pPr>
                    <w:spacing w:after="0"/>
                    <w:rPr>
                      <w:rFonts w:ascii="Times New Roman" w:hAnsi="Times New Roman"/>
                      <w:b/>
                      <w:bCs/>
                      <w:color w:val="000000"/>
                      <w:sz w:val="20"/>
                      <w:szCs w:val="20"/>
                    </w:rPr>
                  </w:pPr>
                  <w:r w:rsidRPr="00752B00">
                    <w:rPr>
                      <w:rFonts w:ascii="Times New Roman" w:hAnsi="Times New Roman"/>
                      <w:b/>
                      <w:bCs/>
                      <w:color w:val="000000"/>
                      <w:sz w:val="20"/>
                      <w:szCs w:val="20"/>
                    </w:rPr>
                    <w:t>TOTAL</w:t>
                  </w:r>
                </w:p>
              </w:tc>
              <w:tc>
                <w:tcPr>
                  <w:tcW w:w="1115" w:type="pct"/>
                  <w:tcBorders>
                    <w:top w:val="single" w:sz="6" w:space="0" w:color="auto"/>
                    <w:left w:val="nil"/>
                    <w:bottom w:val="single" w:sz="6" w:space="0" w:color="auto"/>
                    <w:right w:val="single" w:sz="6" w:space="0" w:color="auto"/>
                  </w:tcBorders>
                  <w:vAlign w:val="center"/>
                </w:tcPr>
                <w:p w:rsidR="00752B00" w:rsidRPr="00752B00" w:rsidRDefault="00752B00" w:rsidP="00752B00">
                  <w:pPr>
                    <w:spacing w:after="0"/>
                    <w:jc w:val="right"/>
                    <w:rPr>
                      <w:rFonts w:ascii="Times New Roman" w:hAnsi="Times New Roman"/>
                      <w:b/>
                      <w:bCs/>
                      <w:color w:val="000000"/>
                      <w:sz w:val="20"/>
                      <w:szCs w:val="20"/>
                      <w:u w:val="single"/>
                    </w:rPr>
                  </w:pPr>
                  <w:r w:rsidRPr="00752B00">
                    <w:rPr>
                      <w:rFonts w:ascii="Times New Roman" w:hAnsi="Times New Roman"/>
                      <w:b/>
                      <w:bCs/>
                      <w:color w:val="000000"/>
                      <w:sz w:val="20"/>
                      <w:szCs w:val="20"/>
                      <w:u w:val="single"/>
                    </w:rPr>
                    <w:t>$60,794,523.98</w:t>
                  </w:r>
                </w:p>
              </w:tc>
            </w:tr>
          </w:tbl>
          <w:p w:rsidR="006C0815" w:rsidRDefault="006C0815" w:rsidP="00E80680">
            <w:pPr>
              <w:autoSpaceDE w:val="0"/>
              <w:autoSpaceDN w:val="0"/>
              <w:adjustRightInd w:val="0"/>
              <w:spacing w:after="0" w:line="240" w:lineRule="auto"/>
              <w:jc w:val="both"/>
              <w:rPr>
                <w:rFonts w:ascii="Times New Roman" w:hAnsi="Times New Roman"/>
                <w:color w:val="000000"/>
                <w:sz w:val="20"/>
                <w:szCs w:val="20"/>
                <w:lang w:eastAsia="es-MX"/>
              </w:rPr>
            </w:pPr>
          </w:p>
          <w:p w:rsidR="000E72A3" w:rsidRPr="00C51B6B" w:rsidRDefault="000E72A3" w:rsidP="000E72A3">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Representa aquellos bienes inmuebles otorgados por saldo a favor que se espera recibir mediante los procesos jurídicos correspondientes para el uso o goce del Municipio. Se utiliza de manera transitoria conforme al Manual de Contabilidad Gubernamental.</w:t>
            </w:r>
          </w:p>
          <w:p w:rsidR="00170B4B" w:rsidRDefault="00170B4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006C5" w:rsidRDefault="000006C5"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006C5" w:rsidRPr="00C51B6B" w:rsidRDefault="000006C5"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FIDEICOMISOS, MANDATOS Y CONTRATOS ANÁLOGOS</w:t>
            </w:r>
            <w:r w:rsidR="0044621D" w:rsidRPr="00C51B6B">
              <w:rPr>
                <w:rFonts w:ascii="Times New Roman" w:hAnsi="Times New Roman"/>
                <w:b/>
                <w:bCs/>
                <w:color w:val="000000"/>
                <w:sz w:val="20"/>
                <w:szCs w:val="20"/>
                <w:lang w:eastAsia="es-MX"/>
              </w:rPr>
              <w:t xml:space="preserve">                              </w:t>
            </w:r>
            <w:r w:rsidRPr="00C51B6B">
              <w:rPr>
                <w:rFonts w:ascii="Times New Roman" w:hAnsi="Times New Roman"/>
                <w:b/>
                <w:bCs/>
                <w:color w:val="000000"/>
                <w:sz w:val="20"/>
                <w:szCs w:val="20"/>
                <w:lang w:eastAsia="es-MX"/>
              </w:rPr>
              <w:t xml:space="preserve">   </w:t>
            </w:r>
            <w:r w:rsidR="00224C2C" w:rsidRPr="00C51B6B">
              <w:rPr>
                <w:rFonts w:ascii="Times New Roman" w:hAnsi="Times New Roman"/>
                <w:b/>
                <w:bCs/>
                <w:color w:val="000000"/>
                <w:sz w:val="20"/>
                <w:szCs w:val="20"/>
                <w:lang w:eastAsia="es-MX"/>
              </w:rPr>
              <w:t xml:space="preserve"> </w:t>
            </w:r>
            <w:r w:rsidR="00A22DF2" w:rsidRPr="00C51B6B">
              <w:rPr>
                <w:rFonts w:ascii="Times New Roman" w:hAnsi="Times New Roman"/>
                <w:b/>
                <w:bCs/>
                <w:color w:val="000000"/>
                <w:sz w:val="20"/>
                <w:szCs w:val="20"/>
                <w:lang w:eastAsia="es-MX"/>
              </w:rPr>
              <w:t xml:space="preserve"> </w:t>
            </w:r>
            <w:r w:rsidR="0037617F" w:rsidRPr="00C51B6B">
              <w:rPr>
                <w:rFonts w:ascii="Times New Roman" w:hAnsi="Times New Roman"/>
                <w:b/>
                <w:bCs/>
                <w:color w:val="000000"/>
                <w:sz w:val="20"/>
                <w:szCs w:val="20"/>
                <w:lang w:eastAsia="es-MX"/>
              </w:rPr>
              <w:t xml:space="preserve"> </w:t>
            </w:r>
            <w:r w:rsidR="00D62216" w:rsidRPr="00C51B6B">
              <w:rPr>
                <w:rFonts w:ascii="Times New Roman" w:hAnsi="Times New Roman"/>
                <w:b/>
                <w:bCs/>
                <w:color w:val="000000"/>
                <w:sz w:val="20"/>
                <w:szCs w:val="20"/>
                <w:lang w:eastAsia="es-MX"/>
              </w:rPr>
              <w:t xml:space="preserve"> </w:t>
            </w:r>
            <w:r w:rsidR="00752B00" w:rsidRPr="00752B00">
              <w:rPr>
                <w:rFonts w:ascii="Times New Roman" w:hAnsi="Times New Roman"/>
                <w:b/>
                <w:bCs/>
                <w:color w:val="000000"/>
                <w:sz w:val="20"/>
                <w:szCs w:val="20"/>
                <w:lang w:eastAsia="es-MX"/>
              </w:rPr>
              <w:t>$161,028,388.96</w:t>
            </w:r>
          </w:p>
          <w:tbl>
            <w:tblPr>
              <w:tblW w:w="5000" w:type="pct"/>
              <w:tblLayout w:type="fixed"/>
              <w:tblCellMar>
                <w:left w:w="70" w:type="dxa"/>
                <w:right w:w="70" w:type="dxa"/>
              </w:tblCellMar>
              <w:tblLook w:val="04A0" w:firstRow="1" w:lastRow="0" w:firstColumn="1" w:lastColumn="0" w:noHBand="0" w:noVBand="1"/>
            </w:tblPr>
            <w:tblGrid>
              <w:gridCol w:w="6799"/>
              <w:gridCol w:w="1953"/>
            </w:tblGrid>
            <w:tr w:rsidR="00752B00" w:rsidRPr="00C51B6B" w:rsidTr="000006C5">
              <w:trPr>
                <w:trHeight w:val="255"/>
              </w:trPr>
              <w:tc>
                <w:tcPr>
                  <w:tcW w:w="3884" w:type="pct"/>
                  <w:tcBorders>
                    <w:top w:val="single" w:sz="4" w:space="0" w:color="auto"/>
                    <w:left w:val="single" w:sz="4" w:space="0" w:color="auto"/>
                    <w:bottom w:val="single" w:sz="4" w:space="0" w:color="auto"/>
                    <w:right w:val="single" w:sz="4" w:space="0" w:color="auto"/>
                  </w:tcBorders>
                  <w:shd w:val="clear" w:color="auto" w:fill="auto"/>
                  <w:noWrap/>
                  <w:hideMark/>
                </w:tcPr>
                <w:p w:rsidR="00752B00" w:rsidRPr="00752B00" w:rsidRDefault="00752B00" w:rsidP="00752B00">
                  <w:pPr>
                    <w:spacing w:after="0"/>
                    <w:rPr>
                      <w:rFonts w:ascii="Times New Roman" w:hAnsi="Times New Roman"/>
                      <w:sz w:val="20"/>
                      <w:szCs w:val="20"/>
                    </w:rPr>
                  </w:pPr>
                  <w:r w:rsidRPr="00752B00">
                    <w:rPr>
                      <w:rFonts w:ascii="Times New Roman" w:hAnsi="Times New Roman"/>
                      <w:sz w:val="20"/>
                      <w:szCs w:val="20"/>
                    </w:rPr>
                    <w:t>FIDEICOMISO FIMAFEZ</w:t>
                  </w:r>
                </w:p>
              </w:tc>
              <w:tc>
                <w:tcPr>
                  <w:tcW w:w="1116" w:type="pct"/>
                  <w:tcBorders>
                    <w:top w:val="single" w:sz="4" w:space="0" w:color="auto"/>
                    <w:left w:val="nil"/>
                    <w:bottom w:val="single" w:sz="4" w:space="0" w:color="auto"/>
                    <w:right w:val="single" w:sz="4" w:space="0" w:color="auto"/>
                  </w:tcBorders>
                  <w:shd w:val="clear" w:color="auto" w:fill="auto"/>
                  <w:noWrap/>
                  <w:hideMark/>
                </w:tcPr>
                <w:p w:rsidR="00752B00" w:rsidRPr="00752B00" w:rsidRDefault="00752B00" w:rsidP="00752B00">
                  <w:pPr>
                    <w:spacing w:after="0"/>
                    <w:jc w:val="right"/>
                    <w:rPr>
                      <w:rFonts w:ascii="Times New Roman" w:hAnsi="Times New Roman"/>
                      <w:sz w:val="20"/>
                      <w:szCs w:val="20"/>
                    </w:rPr>
                  </w:pPr>
                  <w:r w:rsidRPr="00752B00">
                    <w:rPr>
                      <w:rFonts w:ascii="Times New Roman" w:hAnsi="Times New Roman"/>
                      <w:sz w:val="20"/>
                      <w:szCs w:val="20"/>
                    </w:rPr>
                    <w:t>$2,665,781.24</w:t>
                  </w:r>
                </w:p>
              </w:tc>
            </w:tr>
            <w:tr w:rsidR="00752B00"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752B00" w:rsidRPr="00752B00" w:rsidRDefault="00752B00" w:rsidP="00752B00">
                  <w:pPr>
                    <w:spacing w:after="0"/>
                    <w:rPr>
                      <w:rFonts w:ascii="Times New Roman" w:hAnsi="Times New Roman"/>
                      <w:sz w:val="20"/>
                      <w:szCs w:val="20"/>
                    </w:rPr>
                  </w:pPr>
                  <w:r w:rsidRPr="00752B00">
                    <w:rPr>
                      <w:rFonts w:ascii="Times New Roman" w:hAnsi="Times New Roman"/>
                      <w:sz w:val="20"/>
                      <w:szCs w:val="20"/>
                    </w:rPr>
                    <w:lastRenderedPageBreak/>
                    <w:t>FIDEICOMISO MONEX F/3087</w:t>
                  </w:r>
                </w:p>
              </w:tc>
              <w:tc>
                <w:tcPr>
                  <w:tcW w:w="1116" w:type="pct"/>
                  <w:tcBorders>
                    <w:top w:val="nil"/>
                    <w:left w:val="nil"/>
                    <w:bottom w:val="single" w:sz="4" w:space="0" w:color="auto"/>
                    <w:right w:val="single" w:sz="4" w:space="0" w:color="auto"/>
                  </w:tcBorders>
                  <w:shd w:val="clear" w:color="auto" w:fill="auto"/>
                  <w:noWrap/>
                  <w:hideMark/>
                </w:tcPr>
                <w:p w:rsidR="00752B00" w:rsidRPr="00752B00" w:rsidRDefault="00752B00" w:rsidP="00752B00">
                  <w:pPr>
                    <w:spacing w:after="0"/>
                    <w:jc w:val="right"/>
                    <w:rPr>
                      <w:rFonts w:ascii="Times New Roman" w:hAnsi="Times New Roman"/>
                      <w:sz w:val="20"/>
                      <w:szCs w:val="20"/>
                    </w:rPr>
                  </w:pPr>
                  <w:r w:rsidRPr="00752B00">
                    <w:rPr>
                      <w:rFonts w:ascii="Times New Roman" w:hAnsi="Times New Roman"/>
                      <w:sz w:val="20"/>
                      <w:szCs w:val="20"/>
                    </w:rPr>
                    <w:t>$5,076,497.04</w:t>
                  </w:r>
                </w:p>
              </w:tc>
            </w:tr>
            <w:tr w:rsidR="00752B00"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752B00" w:rsidRPr="00752B00" w:rsidRDefault="00752B00" w:rsidP="00752B00">
                  <w:pPr>
                    <w:spacing w:after="0"/>
                    <w:rPr>
                      <w:rFonts w:ascii="Times New Roman" w:hAnsi="Times New Roman"/>
                      <w:sz w:val="20"/>
                      <w:szCs w:val="20"/>
                    </w:rPr>
                  </w:pPr>
                  <w:r w:rsidRPr="00752B00">
                    <w:rPr>
                      <w:rFonts w:ascii="Times New Roman" w:hAnsi="Times New Roman"/>
                      <w:sz w:val="20"/>
                      <w:szCs w:val="20"/>
                    </w:rPr>
                    <w:t>FIDEICOMISO DEL CONTRATADOS POR EL MUNICIPIO</w:t>
                  </w:r>
                </w:p>
              </w:tc>
              <w:tc>
                <w:tcPr>
                  <w:tcW w:w="1116" w:type="pct"/>
                  <w:tcBorders>
                    <w:top w:val="nil"/>
                    <w:left w:val="nil"/>
                    <w:bottom w:val="single" w:sz="4" w:space="0" w:color="auto"/>
                    <w:right w:val="single" w:sz="4" w:space="0" w:color="auto"/>
                  </w:tcBorders>
                  <w:shd w:val="clear" w:color="auto" w:fill="auto"/>
                  <w:noWrap/>
                  <w:hideMark/>
                </w:tcPr>
                <w:p w:rsidR="00752B00" w:rsidRPr="00752B00" w:rsidRDefault="00752B00" w:rsidP="00752B00">
                  <w:pPr>
                    <w:spacing w:after="0"/>
                    <w:jc w:val="right"/>
                    <w:rPr>
                      <w:rFonts w:ascii="Times New Roman" w:hAnsi="Times New Roman"/>
                      <w:sz w:val="20"/>
                      <w:szCs w:val="20"/>
                    </w:rPr>
                  </w:pPr>
                  <w:r w:rsidRPr="00752B00">
                    <w:rPr>
                      <w:rFonts w:ascii="Times New Roman" w:hAnsi="Times New Roman"/>
                      <w:sz w:val="20"/>
                      <w:szCs w:val="20"/>
                    </w:rPr>
                    <w:t>$22,467,223.54</w:t>
                  </w:r>
                </w:p>
              </w:tc>
            </w:tr>
            <w:tr w:rsidR="00752B00" w:rsidRPr="00C51B6B" w:rsidTr="000006C5">
              <w:trPr>
                <w:trHeight w:val="255"/>
              </w:trPr>
              <w:tc>
                <w:tcPr>
                  <w:tcW w:w="3884" w:type="pct"/>
                  <w:tcBorders>
                    <w:top w:val="nil"/>
                    <w:left w:val="single" w:sz="4" w:space="0" w:color="auto"/>
                    <w:bottom w:val="single" w:sz="4" w:space="0" w:color="auto"/>
                    <w:right w:val="single" w:sz="4" w:space="0" w:color="auto"/>
                  </w:tcBorders>
                  <w:shd w:val="clear" w:color="auto" w:fill="auto"/>
                  <w:noWrap/>
                  <w:hideMark/>
                </w:tcPr>
                <w:p w:rsidR="00752B00" w:rsidRPr="00752B00" w:rsidRDefault="00752B00" w:rsidP="00752B00">
                  <w:pPr>
                    <w:spacing w:after="0"/>
                    <w:rPr>
                      <w:rFonts w:ascii="Times New Roman" w:hAnsi="Times New Roman"/>
                      <w:sz w:val="20"/>
                      <w:szCs w:val="20"/>
                    </w:rPr>
                  </w:pPr>
                  <w:r w:rsidRPr="00752B00">
                    <w:rPr>
                      <w:rFonts w:ascii="Times New Roman" w:hAnsi="Times New Roman"/>
                      <w:sz w:val="20"/>
                      <w:szCs w:val="20"/>
                    </w:rPr>
                    <w:t>FIDEICOMISO CUS-MAX</w:t>
                  </w:r>
                </w:p>
              </w:tc>
              <w:tc>
                <w:tcPr>
                  <w:tcW w:w="1116" w:type="pct"/>
                  <w:tcBorders>
                    <w:top w:val="nil"/>
                    <w:left w:val="nil"/>
                    <w:bottom w:val="single" w:sz="4" w:space="0" w:color="auto"/>
                    <w:right w:val="single" w:sz="4" w:space="0" w:color="auto"/>
                  </w:tcBorders>
                  <w:shd w:val="clear" w:color="auto" w:fill="auto"/>
                  <w:noWrap/>
                  <w:hideMark/>
                </w:tcPr>
                <w:p w:rsidR="00752B00" w:rsidRPr="00752B00" w:rsidRDefault="00752B00" w:rsidP="00752B00">
                  <w:pPr>
                    <w:spacing w:after="0"/>
                    <w:jc w:val="right"/>
                    <w:rPr>
                      <w:rFonts w:ascii="Times New Roman" w:hAnsi="Times New Roman"/>
                      <w:sz w:val="20"/>
                      <w:szCs w:val="20"/>
                    </w:rPr>
                  </w:pPr>
                  <w:r w:rsidRPr="00752B00">
                    <w:rPr>
                      <w:rFonts w:ascii="Times New Roman" w:hAnsi="Times New Roman"/>
                      <w:sz w:val="20"/>
                      <w:szCs w:val="20"/>
                    </w:rPr>
                    <w:t>$130,818,887.14</w:t>
                  </w:r>
                </w:p>
              </w:tc>
            </w:tr>
          </w:tbl>
          <w:p w:rsidR="00E02273" w:rsidRPr="00C51B6B" w:rsidRDefault="00E02273" w:rsidP="00E80680">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DEUDOR</w:t>
            </w:r>
            <w:r w:rsidR="006B518F" w:rsidRPr="00C51B6B">
              <w:rPr>
                <w:rFonts w:ascii="Times New Roman" w:hAnsi="Times New Roman"/>
                <w:b/>
                <w:bCs/>
                <w:color w:val="000000"/>
                <w:sz w:val="20"/>
                <w:szCs w:val="20"/>
                <w:lang w:eastAsia="es-MX"/>
              </w:rPr>
              <w:t>ES DIVERSOS A LARGO PLAZO</w:t>
            </w:r>
            <w:r w:rsidR="006B518F" w:rsidRPr="00C51B6B">
              <w:rPr>
                <w:rFonts w:ascii="Times New Roman" w:hAnsi="Times New Roman"/>
                <w:b/>
                <w:bCs/>
                <w:color w:val="000000"/>
                <w:sz w:val="20"/>
                <w:szCs w:val="20"/>
                <w:lang w:eastAsia="es-MX"/>
              </w:rPr>
              <w:tab/>
            </w:r>
            <w:r w:rsidRPr="00C51B6B">
              <w:rPr>
                <w:rFonts w:ascii="Times New Roman" w:hAnsi="Times New Roman"/>
                <w:b/>
                <w:bCs/>
                <w:color w:val="000000"/>
                <w:sz w:val="20"/>
                <w:szCs w:val="20"/>
                <w:lang w:eastAsia="es-MX"/>
              </w:rPr>
              <w:t xml:space="preserve">                    </w:t>
            </w:r>
            <w:r w:rsidR="006B518F" w:rsidRPr="00C51B6B">
              <w:rPr>
                <w:rFonts w:ascii="Times New Roman" w:hAnsi="Times New Roman"/>
                <w:b/>
                <w:bCs/>
                <w:color w:val="000000"/>
                <w:sz w:val="20"/>
                <w:szCs w:val="20"/>
                <w:lang w:eastAsia="es-MX"/>
              </w:rPr>
              <w:t xml:space="preserve">                                     </w:t>
            </w:r>
            <w:r w:rsidR="00007145" w:rsidRPr="00C51B6B">
              <w:rPr>
                <w:rFonts w:ascii="Times New Roman" w:hAnsi="Times New Roman"/>
                <w:b/>
                <w:bCs/>
                <w:color w:val="000000"/>
                <w:sz w:val="20"/>
                <w:szCs w:val="20"/>
                <w:lang w:eastAsia="es-MX"/>
              </w:rPr>
              <w:t xml:space="preserve">              $22,979.15</w:t>
            </w:r>
          </w:p>
          <w:tbl>
            <w:tblPr>
              <w:tblW w:w="5000" w:type="pct"/>
              <w:tblLayout w:type="fixed"/>
              <w:tblCellMar>
                <w:left w:w="70" w:type="dxa"/>
                <w:right w:w="70" w:type="dxa"/>
              </w:tblCellMar>
              <w:tblLook w:val="0000" w:firstRow="0" w:lastRow="0" w:firstColumn="0" w:lastColumn="0" w:noHBand="0" w:noVBand="0"/>
            </w:tblPr>
            <w:tblGrid>
              <w:gridCol w:w="6796"/>
              <w:gridCol w:w="1950"/>
            </w:tblGrid>
            <w:tr w:rsidR="000E761D" w:rsidRPr="00C51B6B" w:rsidTr="000006C5">
              <w:trPr>
                <w:trHeight w:val="151"/>
              </w:trPr>
              <w:tc>
                <w:tcPr>
                  <w:tcW w:w="3885" w:type="pct"/>
                  <w:tcBorders>
                    <w:top w:val="single" w:sz="6" w:space="0" w:color="auto"/>
                    <w:left w:val="single" w:sz="6" w:space="0" w:color="auto"/>
                    <w:bottom w:val="single" w:sz="6" w:space="0" w:color="auto"/>
                    <w:right w:val="single" w:sz="6" w:space="0" w:color="auto"/>
                  </w:tcBorders>
                  <w:vAlign w:val="center"/>
                </w:tcPr>
                <w:p w:rsidR="000E761D" w:rsidRPr="00C51B6B" w:rsidRDefault="000E761D" w:rsidP="001E1AE2">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DEUDORES DIVERSOS A LARGO PLAZO</w:t>
                  </w:r>
                </w:p>
              </w:tc>
              <w:tc>
                <w:tcPr>
                  <w:tcW w:w="1115" w:type="pct"/>
                  <w:tcBorders>
                    <w:top w:val="single" w:sz="6" w:space="0" w:color="auto"/>
                    <w:left w:val="nil"/>
                    <w:bottom w:val="single" w:sz="6" w:space="0" w:color="auto"/>
                    <w:right w:val="single" w:sz="6" w:space="0" w:color="auto"/>
                  </w:tcBorders>
                  <w:vAlign w:val="center"/>
                </w:tcPr>
                <w:p w:rsidR="000E761D" w:rsidRPr="00C51B6B" w:rsidRDefault="00752B00" w:rsidP="001E1AE2">
                  <w:pPr>
                    <w:spacing w:after="0" w:line="240" w:lineRule="auto"/>
                    <w:jc w:val="right"/>
                    <w:rPr>
                      <w:rFonts w:ascii="Times New Roman" w:eastAsia="Times New Roman" w:hAnsi="Times New Roman"/>
                      <w:color w:val="000000"/>
                      <w:sz w:val="20"/>
                      <w:szCs w:val="20"/>
                      <w:lang w:eastAsia="es-MX"/>
                    </w:rPr>
                  </w:pPr>
                  <w:r w:rsidRPr="00752B00">
                    <w:rPr>
                      <w:rFonts w:ascii="Times New Roman" w:eastAsia="Times New Roman" w:hAnsi="Times New Roman"/>
                      <w:color w:val="000000"/>
                      <w:sz w:val="20"/>
                      <w:szCs w:val="20"/>
                      <w:lang w:eastAsia="es-MX"/>
                    </w:rPr>
                    <w:t>$22,979.15</w:t>
                  </w:r>
                </w:p>
              </w:tc>
            </w:tr>
          </w:tbl>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Default="000E761D" w:rsidP="00E80680">
            <w:pPr>
              <w:autoSpaceDE w:val="0"/>
              <w:autoSpaceDN w:val="0"/>
              <w:adjustRightInd w:val="0"/>
              <w:spacing w:after="0" w:line="240" w:lineRule="auto"/>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Bienes  Inmuebles, Infraestructura y Construcciones en Proces</w:t>
            </w:r>
            <w:r w:rsidR="00752B00">
              <w:rPr>
                <w:rFonts w:ascii="Times New Roman" w:hAnsi="Times New Roman"/>
                <w:b/>
                <w:bCs/>
                <w:color w:val="000000"/>
                <w:sz w:val="20"/>
                <w:szCs w:val="20"/>
                <w:lang w:eastAsia="es-MX"/>
              </w:rPr>
              <w:t xml:space="preserve">o: </w:t>
            </w:r>
            <w:r w:rsidR="00752B00" w:rsidRPr="00752B00">
              <w:rPr>
                <w:rFonts w:ascii="Times New Roman" w:hAnsi="Times New Roman"/>
                <w:b/>
                <w:bCs/>
                <w:color w:val="000000"/>
                <w:sz w:val="20"/>
                <w:szCs w:val="20"/>
                <w:lang w:eastAsia="es-MX"/>
              </w:rPr>
              <w:t>$38,642,496,180.30</w:t>
            </w:r>
          </w:p>
          <w:p w:rsidR="00E80680" w:rsidRPr="00C51B6B" w:rsidRDefault="00E80680" w:rsidP="00E80680">
            <w:pPr>
              <w:autoSpaceDE w:val="0"/>
              <w:autoSpaceDN w:val="0"/>
              <w:adjustRightInd w:val="0"/>
              <w:spacing w:after="0" w:line="240" w:lineRule="auto"/>
              <w:rPr>
                <w:rFonts w:ascii="Times New Roman" w:hAnsi="Times New Roman"/>
                <w:b/>
                <w:bCs/>
                <w:color w:val="000000"/>
                <w:sz w:val="20"/>
                <w:szCs w:val="20"/>
                <w:lang w:eastAsia="es-MX"/>
              </w:rPr>
            </w:pPr>
          </w:p>
          <w:p w:rsidR="000E761D"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Este rubro presenta a valor catastral, como lo establece la Ley General de Contabilidad Gubernamental en su artículo 27. </w:t>
            </w:r>
          </w:p>
          <w:p w:rsidR="006C0815" w:rsidRPr="00C51B6B" w:rsidRDefault="006C0815" w:rsidP="009E2155">
            <w:pPr>
              <w:autoSpaceDE w:val="0"/>
              <w:autoSpaceDN w:val="0"/>
              <w:adjustRightInd w:val="0"/>
              <w:spacing w:after="0" w:line="240" w:lineRule="auto"/>
              <w:jc w:val="both"/>
              <w:rPr>
                <w:rFonts w:ascii="Times New Roman" w:hAnsi="Times New Roman"/>
                <w:b/>
                <w:bCs/>
                <w:color w:val="000000"/>
                <w:sz w:val="20"/>
                <w:szCs w:val="20"/>
                <w:lang w:eastAsia="es-MX"/>
              </w:rPr>
            </w:pPr>
          </w:p>
          <w:tbl>
            <w:tblPr>
              <w:tblW w:w="8828" w:type="dxa"/>
              <w:tblLayout w:type="fixed"/>
              <w:tblCellMar>
                <w:left w:w="70" w:type="dxa"/>
                <w:right w:w="70" w:type="dxa"/>
              </w:tblCellMar>
              <w:tblLook w:val="04A0" w:firstRow="1" w:lastRow="0" w:firstColumn="1" w:lastColumn="0" w:noHBand="0" w:noVBand="1"/>
            </w:tblPr>
            <w:tblGrid>
              <w:gridCol w:w="6799"/>
              <w:gridCol w:w="2029"/>
            </w:tblGrid>
            <w:tr w:rsidR="00752B00" w:rsidRPr="00C51B6B" w:rsidTr="000006C5">
              <w:trPr>
                <w:trHeight w:val="255"/>
              </w:trPr>
              <w:tc>
                <w:tcPr>
                  <w:tcW w:w="679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52B00" w:rsidRPr="00390611" w:rsidRDefault="00752B00" w:rsidP="00752B00">
                  <w:pPr>
                    <w:spacing w:after="0"/>
                    <w:rPr>
                      <w:rFonts w:ascii="Times New Roman" w:hAnsi="Times New Roman"/>
                      <w:b/>
                      <w:color w:val="000000"/>
                      <w:sz w:val="20"/>
                      <w:szCs w:val="20"/>
                    </w:rPr>
                  </w:pPr>
                  <w:r w:rsidRPr="00390611">
                    <w:rPr>
                      <w:rFonts w:ascii="Times New Roman" w:hAnsi="Times New Roman"/>
                      <w:b/>
                      <w:color w:val="000000"/>
                      <w:sz w:val="20"/>
                      <w:szCs w:val="20"/>
                    </w:rPr>
                    <w:t>TERRENOS</w:t>
                  </w:r>
                </w:p>
              </w:tc>
              <w:tc>
                <w:tcPr>
                  <w:tcW w:w="2029" w:type="dxa"/>
                  <w:tcBorders>
                    <w:top w:val="single" w:sz="4" w:space="0" w:color="auto"/>
                    <w:left w:val="nil"/>
                    <w:bottom w:val="single" w:sz="4" w:space="0" w:color="auto"/>
                    <w:right w:val="single" w:sz="4" w:space="0" w:color="auto"/>
                  </w:tcBorders>
                  <w:shd w:val="clear" w:color="auto" w:fill="auto"/>
                  <w:noWrap/>
                  <w:vAlign w:val="center"/>
                  <w:hideMark/>
                </w:tcPr>
                <w:p w:rsidR="00752B00" w:rsidRPr="00390611" w:rsidRDefault="00752B00" w:rsidP="00752B00">
                  <w:pPr>
                    <w:spacing w:after="0"/>
                    <w:jc w:val="right"/>
                    <w:rPr>
                      <w:rFonts w:ascii="Times New Roman" w:hAnsi="Times New Roman"/>
                      <w:b/>
                      <w:color w:val="000000"/>
                      <w:sz w:val="20"/>
                      <w:szCs w:val="20"/>
                    </w:rPr>
                  </w:pPr>
                  <w:r w:rsidRPr="00390611">
                    <w:rPr>
                      <w:rFonts w:ascii="Times New Roman" w:hAnsi="Times New Roman"/>
                      <w:b/>
                      <w:color w:val="000000"/>
                      <w:sz w:val="20"/>
                      <w:szCs w:val="20"/>
                    </w:rPr>
                    <w:t>$36,203,752,918.89</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390611" w:rsidRDefault="00752B00" w:rsidP="00752B00">
                  <w:pPr>
                    <w:spacing w:after="0"/>
                    <w:rPr>
                      <w:rFonts w:ascii="Times New Roman" w:hAnsi="Times New Roman"/>
                      <w:b/>
                      <w:color w:val="000000"/>
                      <w:sz w:val="20"/>
                      <w:szCs w:val="20"/>
                    </w:rPr>
                  </w:pPr>
                  <w:r w:rsidRPr="00390611">
                    <w:rPr>
                      <w:rFonts w:ascii="Times New Roman" w:hAnsi="Times New Roman"/>
                      <w:b/>
                      <w:color w:val="000000"/>
                      <w:sz w:val="20"/>
                      <w:szCs w:val="20"/>
                    </w:rPr>
                    <w:t>EDIFICIOS NO HABITACIONALES</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390611" w:rsidRDefault="00752B00" w:rsidP="00752B00">
                  <w:pPr>
                    <w:spacing w:after="0"/>
                    <w:jc w:val="right"/>
                    <w:rPr>
                      <w:rFonts w:ascii="Times New Roman" w:hAnsi="Times New Roman"/>
                      <w:b/>
                      <w:color w:val="000000"/>
                      <w:sz w:val="20"/>
                      <w:szCs w:val="20"/>
                    </w:rPr>
                  </w:pPr>
                  <w:r w:rsidRPr="00390611">
                    <w:rPr>
                      <w:rFonts w:ascii="Times New Roman" w:hAnsi="Times New Roman"/>
                      <w:b/>
                      <w:color w:val="000000"/>
                      <w:sz w:val="20"/>
                      <w:szCs w:val="20"/>
                    </w:rPr>
                    <w:t>$401,770,736.45</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tcPr>
                <w:p w:rsidR="00752B00" w:rsidRPr="00390611" w:rsidRDefault="00752B00" w:rsidP="00752B00">
                  <w:pPr>
                    <w:spacing w:after="0"/>
                    <w:rPr>
                      <w:rFonts w:ascii="Times New Roman" w:hAnsi="Times New Roman"/>
                      <w:b/>
                      <w:color w:val="000000"/>
                      <w:sz w:val="20"/>
                      <w:szCs w:val="20"/>
                    </w:rPr>
                  </w:pPr>
                  <w:r w:rsidRPr="00390611">
                    <w:rPr>
                      <w:rFonts w:ascii="Times New Roman" w:hAnsi="Times New Roman"/>
                      <w:b/>
                      <w:color w:val="000000"/>
                      <w:sz w:val="20"/>
                      <w:szCs w:val="20"/>
                    </w:rPr>
                    <w:t>VIVIENDAS</w:t>
                  </w:r>
                </w:p>
              </w:tc>
              <w:tc>
                <w:tcPr>
                  <w:tcW w:w="2029" w:type="dxa"/>
                  <w:tcBorders>
                    <w:top w:val="nil"/>
                    <w:left w:val="nil"/>
                    <w:bottom w:val="single" w:sz="4" w:space="0" w:color="auto"/>
                    <w:right w:val="single" w:sz="4" w:space="0" w:color="auto"/>
                  </w:tcBorders>
                  <w:shd w:val="clear" w:color="auto" w:fill="auto"/>
                  <w:noWrap/>
                  <w:vAlign w:val="center"/>
                </w:tcPr>
                <w:p w:rsidR="00752B00" w:rsidRPr="00390611" w:rsidRDefault="00752B00" w:rsidP="00752B00">
                  <w:pPr>
                    <w:spacing w:after="0"/>
                    <w:jc w:val="right"/>
                    <w:rPr>
                      <w:rFonts w:ascii="Times New Roman" w:hAnsi="Times New Roman"/>
                      <w:b/>
                      <w:color w:val="000000"/>
                      <w:sz w:val="20"/>
                      <w:szCs w:val="20"/>
                    </w:rPr>
                  </w:pPr>
                  <w:r w:rsidRPr="00390611">
                    <w:rPr>
                      <w:rFonts w:ascii="Times New Roman" w:hAnsi="Times New Roman"/>
                      <w:b/>
                      <w:color w:val="000000"/>
                      <w:sz w:val="20"/>
                      <w:szCs w:val="20"/>
                    </w:rPr>
                    <w:t>$651,000.00</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752B00" w:rsidRDefault="00752B00" w:rsidP="00752B00">
                  <w:pPr>
                    <w:spacing w:after="0"/>
                    <w:rPr>
                      <w:rFonts w:ascii="Times New Roman" w:hAnsi="Times New Roman"/>
                      <w:b/>
                      <w:bCs/>
                      <w:color w:val="000000"/>
                      <w:sz w:val="20"/>
                      <w:szCs w:val="20"/>
                    </w:rPr>
                  </w:pPr>
                  <w:r w:rsidRPr="00752B00">
                    <w:rPr>
                      <w:rFonts w:ascii="Times New Roman" w:hAnsi="Times New Roman"/>
                      <w:b/>
                      <w:bCs/>
                      <w:color w:val="000000"/>
                      <w:sz w:val="20"/>
                      <w:szCs w:val="20"/>
                    </w:rPr>
                    <w:t>CONSTRUCCIONES EN PROCESO EN BIENES DE DOMINIO PUBLICO</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752B00" w:rsidRDefault="00752B00" w:rsidP="00752B00">
                  <w:pPr>
                    <w:spacing w:after="0"/>
                    <w:jc w:val="right"/>
                    <w:rPr>
                      <w:rFonts w:ascii="Times New Roman" w:hAnsi="Times New Roman"/>
                      <w:b/>
                      <w:bCs/>
                      <w:color w:val="000000"/>
                      <w:sz w:val="20"/>
                      <w:szCs w:val="20"/>
                      <w:u w:val="single"/>
                    </w:rPr>
                  </w:pPr>
                  <w:r w:rsidRPr="00752B00">
                    <w:rPr>
                      <w:rFonts w:ascii="Times New Roman" w:hAnsi="Times New Roman"/>
                      <w:b/>
                      <w:bCs/>
                      <w:color w:val="000000"/>
                      <w:sz w:val="20"/>
                      <w:szCs w:val="20"/>
                      <w:u w:val="single"/>
                    </w:rPr>
                    <w:t>$743,365,030.80</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752B00" w:rsidRDefault="00752B00" w:rsidP="00752B00">
                  <w:pPr>
                    <w:spacing w:after="0"/>
                    <w:rPr>
                      <w:rFonts w:ascii="Times New Roman" w:hAnsi="Times New Roman"/>
                      <w:color w:val="000000"/>
                      <w:sz w:val="20"/>
                      <w:szCs w:val="20"/>
                    </w:rPr>
                  </w:pPr>
                  <w:r w:rsidRPr="00752B00">
                    <w:rPr>
                      <w:rFonts w:ascii="Times New Roman" w:hAnsi="Times New Roman"/>
                      <w:color w:val="000000"/>
                      <w:sz w:val="20"/>
                      <w:szCs w:val="20"/>
                    </w:rPr>
                    <w:t>EDIFICACIÓN NO HABITACIONAL EN PROCESO</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752B00" w:rsidRDefault="00752B00"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$315,925,242.87</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752B00" w:rsidRDefault="00752B00" w:rsidP="00752B00">
                  <w:pPr>
                    <w:spacing w:after="0"/>
                    <w:rPr>
                      <w:rFonts w:ascii="Times New Roman" w:hAnsi="Times New Roman"/>
                      <w:color w:val="000000"/>
                      <w:sz w:val="20"/>
                      <w:szCs w:val="20"/>
                    </w:rPr>
                  </w:pPr>
                  <w:r w:rsidRPr="00752B00">
                    <w:rPr>
                      <w:rFonts w:ascii="Times New Roman" w:hAnsi="Times New Roman"/>
                      <w:color w:val="000000"/>
                      <w:sz w:val="20"/>
                      <w:szCs w:val="20"/>
                    </w:rPr>
                    <w:t>CONSTRUCCIÓN DE OBRAS PARA EL ABASTECIMIENTO DE AGUA, PETRÓLEO, GAS, ELECTRICIDAD Y TELECOMUNICACIONES EN PROCESO</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752B00" w:rsidRDefault="00752B00"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$98,744,949.66</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752B00" w:rsidRDefault="00752B00" w:rsidP="00752B00">
                  <w:pPr>
                    <w:spacing w:after="0"/>
                    <w:rPr>
                      <w:rFonts w:ascii="Times New Roman" w:hAnsi="Times New Roman"/>
                      <w:color w:val="000000"/>
                      <w:sz w:val="20"/>
                      <w:szCs w:val="20"/>
                    </w:rPr>
                  </w:pPr>
                  <w:r w:rsidRPr="00752B00">
                    <w:rPr>
                      <w:rFonts w:ascii="Times New Roman" w:hAnsi="Times New Roman"/>
                      <w:color w:val="000000"/>
                      <w:sz w:val="20"/>
                      <w:szCs w:val="20"/>
                    </w:rPr>
                    <w:t>DIVISIÓN DE TERRENOS Y CONSTRUCCIÓN DE OBRAS DE URBANIZACIÓN EN PROCESO</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752B00" w:rsidRDefault="00752B00" w:rsidP="00752B00">
                  <w:pPr>
                    <w:spacing w:after="0"/>
                    <w:jc w:val="right"/>
                    <w:rPr>
                      <w:rFonts w:ascii="Times New Roman" w:hAnsi="Times New Roman"/>
                      <w:color w:val="000000"/>
                      <w:sz w:val="20"/>
                      <w:szCs w:val="20"/>
                    </w:rPr>
                  </w:pPr>
                  <w:r w:rsidRPr="00752B00">
                    <w:rPr>
                      <w:rFonts w:ascii="Times New Roman" w:hAnsi="Times New Roman"/>
                      <w:color w:val="000000"/>
                      <w:sz w:val="20"/>
                      <w:szCs w:val="20"/>
                    </w:rPr>
                    <w:t>$328,694,838.27</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390611" w:rsidRDefault="00752B00" w:rsidP="00752B00">
                  <w:pPr>
                    <w:spacing w:after="0"/>
                    <w:rPr>
                      <w:rFonts w:ascii="Times New Roman" w:hAnsi="Times New Roman"/>
                      <w:b/>
                      <w:color w:val="000000"/>
                      <w:sz w:val="20"/>
                      <w:szCs w:val="20"/>
                    </w:rPr>
                  </w:pPr>
                  <w:r w:rsidRPr="00390611">
                    <w:rPr>
                      <w:rFonts w:ascii="Times New Roman" w:hAnsi="Times New Roman"/>
                      <w:b/>
                      <w:color w:val="000000"/>
                      <w:sz w:val="20"/>
                      <w:szCs w:val="20"/>
                    </w:rPr>
                    <w:t>CONSTRUCCIONES EN PROCESO EN BIENES PROPIOS</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390611" w:rsidRDefault="00752B00" w:rsidP="00752B00">
                  <w:pPr>
                    <w:spacing w:after="0"/>
                    <w:jc w:val="right"/>
                    <w:rPr>
                      <w:rFonts w:ascii="Times New Roman" w:hAnsi="Times New Roman"/>
                      <w:b/>
                      <w:color w:val="000000"/>
                      <w:sz w:val="20"/>
                      <w:szCs w:val="20"/>
                    </w:rPr>
                  </w:pPr>
                  <w:r w:rsidRPr="00390611">
                    <w:rPr>
                      <w:rFonts w:ascii="Times New Roman" w:hAnsi="Times New Roman"/>
                      <w:b/>
                      <w:color w:val="000000"/>
                      <w:sz w:val="20"/>
                      <w:szCs w:val="20"/>
                    </w:rPr>
                    <w:t>$1,267,847,137.73</w:t>
                  </w:r>
                </w:p>
              </w:tc>
            </w:tr>
            <w:tr w:rsidR="00752B00" w:rsidRPr="00C51B6B" w:rsidTr="000006C5">
              <w:trPr>
                <w:trHeight w:val="255"/>
              </w:trPr>
              <w:tc>
                <w:tcPr>
                  <w:tcW w:w="6799" w:type="dxa"/>
                  <w:tcBorders>
                    <w:top w:val="nil"/>
                    <w:left w:val="single" w:sz="4" w:space="0" w:color="auto"/>
                    <w:bottom w:val="single" w:sz="4" w:space="0" w:color="auto"/>
                    <w:right w:val="single" w:sz="4" w:space="0" w:color="auto"/>
                  </w:tcBorders>
                  <w:shd w:val="clear" w:color="auto" w:fill="auto"/>
                  <w:noWrap/>
                  <w:vAlign w:val="center"/>
                  <w:hideMark/>
                </w:tcPr>
                <w:p w:rsidR="00752B00" w:rsidRPr="00390611" w:rsidRDefault="00752B00" w:rsidP="00752B00">
                  <w:pPr>
                    <w:spacing w:after="0"/>
                    <w:rPr>
                      <w:rFonts w:ascii="Times New Roman" w:hAnsi="Times New Roman"/>
                      <w:b/>
                      <w:color w:val="000000"/>
                      <w:sz w:val="20"/>
                      <w:szCs w:val="20"/>
                    </w:rPr>
                  </w:pPr>
                  <w:r w:rsidRPr="00390611">
                    <w:rPr>
                      <w:rFonts w:ascii="Times New Roman" w:hAnsi="Times New Roman"/>
                      <w:b/>
                      <w:color w:val="000000"/>
                      <w:sz w:val="20"/>
                      <w:szCs w:val="20"/>
                    </w:rPr>
                    <w:t>OTROS BIENES INMUEBLES</w:t>
                  </w:r>
                </w:p>
              </w:tc>
              <w:tc>
                <w:tcPr>
                  <w:tcW w:w="2029" w:type="dxa"/>
                  <w:tcBorders>
                    <w:top w:val="nil"/>
                    <w:left w:val="nil"/>
                    <w:bottom w:val="single" w:sz="4" w:space="0" w:color="auto"/>
                    <w:right w:val="single" w:sz="4" w:space="0" w:color="auto"/>
                  </w:tcBorders>
                  <w:shd w:val="clear" w:color="auto" w:fill="auto"/>
                  <w:noWrap/>
                  <w:vAlign w:val="center"/>
                  <w:hideMark/>
                </w:tcPr>
                <w:p w:rsidR="00752B00" w:rsidRPr="00390611" w:rsidRDefault="00752B00" w:rsidP="00752B00">
                  <w:pPr>
                    <w:spacing w:after="0"/>
                    <w:jc w:val="right"/>
                    <w:rPr>
                      <w:rFonts w:ascii="Times New Roman" w:hAnsi="Times New Roman"/>
                      <w:b/>
                      <w:color w:val="000000"/>
                      <w:sz w:val="20"/>
                      <w:szCs w:val="20"/>
                    </w:rPr>
                  </w:pPr>
                  <w:r w:rsidRPr="00390611">
                    <w:rPr>
                      <w:rFonts w:ascii="Times New Roman" w:hAnsi="Times New Roman"/>
                      <w:b/>
                      <w:color w:val="000000"/>
                      <w:sz w:val="20"/>
                      <w:szCs w:val="20"/>
                    </w:rPr>
                    <w:t>$25,109,356.43</w:t>
                  </w:r>
                </w:p>
              </w:tc>
            </w:tr>
          </w:tbl>
          <w:p w:rsidR="00E41DA7" w:rsidRDefault="00E41DA7" w:rsidP="009E2155">
            <w:pPr>
              <w:spacing w:after="0" w:line="240" w:lineRule="auto"/>
              <w:rPr>
                <w:rFonts w:ascii="Times New Roman" w:eastAsia="Times New Roman" w:hAnsi="Times New Roman"/>
                <w:b/>
                <w:bCs/>
                <w:color w:val="000000"/>
                <w:sz w:val="20"/>
                <w:szCs w:val="20"/>
                <w:lang w:eastAsia="es-MX"/>
              </w:rPr>
            </w:pPr>
          </w:p>
          <w:p w:rsidR="00E41DA7" w:rsidRDefault="00E41DA7" w:rsidP="009E2155">
            <w:pPr>
              <w:spacing w:after="0" w:line="240" w:lineRule="auto"/>
              <w:rPr>
                <w:rFonts w:ascii="Times New Roman" w:eastAsia="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bCs/>
                <w:color w:val="000000"/>
                <w:sz w:val="20"/>
                <w:szCs w:val="20"/>
                <w:lang w:eastAsia="es-MX"/>
              </w:rPr>
            </w:pPr>
            <w:r w:rsidRPr="00C51B6B">
              <w:rPr>
                <w:rFonts w:ascii="Times New Roman" w:eastAsia="Times New Roman" w:hAnsi="Times New Roman"/>
                <w:b/>
                <w:bCs/>
                <w:color w:val="000000"/>
                <w:sz w:val="20"/>
                <w:szCs w:val="20"/>
                <w:lang w:eastAsia="es-MX"/>
              </w:rPr>
              <w:t>Bienes Muebles</w:t>
            </w:r>
            <w:r w:rsidR="00390611">
              <w:rPr>
                <w:rFonts w:ascii="Times New Roman" w:eastAsia="Times New Roman" w:hAnsi="Times New Roman"/>
                <w:b/>
                <w:bCs/>
                <w:color w:val="000000"/>
                <w:sz w:val="20"/>
                <w:szCs w:val="20"/>
                <w:lang w:eastAsia="es-MX"/>
              </w:rPr>
              <w:t>:</w:t>
            </w:r>
            <w:r w:rsidR="00172DFE" w:rsidRPr="00C51B6B">
              <w:rPr>
                <w:rFonts w:ascii="Times New Roman" w:eastAsia="Times New Roman" w:hAnsi="Times New Roman"/>
                <w:b/>
                <w:bCs/>
                <w:sz w:val="20"/>
                <w:szCs w:val="20"/>
                <w:lang w:eastAsia="es-MX"/>
              </w:rPr>
              <w:t xml:space="preserve"> </w:t>
            </w:r>
            <w:r w:rsidR="00390611" w:rsidRPr="00390611">
              <w:rPr>
                <w:rFonts w:ascii="Times New Roman" w:eastAsia="Times New Roman" w:hAnsi="Times New Roman"/>
                <w:b/>
                <w:bCs/>
                <w:sz w:val="20"/>
                <w:szCs w:val="20"/>
                <w:u w:val="single"/>
                <w:lang w:eastAsia="es-MX"/>
              </w:rPr>
              <w:t>$1,249,230,876.09</w:t>
            </w:r>
          </w:p>
          <w:p w:rsidR="00E41DA7" w:rsidRPr="00C51B6B" w:rsidRDefault="000E761D" w:rsidP="009E2155">
            <w:pPr>
              <w:autoSpaceDE w:val="0"/>
              <w:autoSpaceDN w:val="0"/>
              <w:adjustRightInd w:val="0"/>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Su importe se integra de la siguiente manera: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81"/>
              <w:gridCol w:w="6245"/>
              <w:gridCol w:w="1526"/>
            </w:tblGrid>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MOBILIARIO Y EQUIPO DE ADMINISTRACION</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$212,618,930.97</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MUEBLES DE OFICINA Y ESTANTERÍA</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$48,470,044.98</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12412</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MUEBLES, EXCEPTO DE OFICINA Y ESTANTERÍA</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$703,540.44</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12413</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DE COMPUTO Y DE TECNOLOGIAS DE LA INFORMACION</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$154,026,274.49</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12419</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OTROS MOBILIARIOS Y EQUIPOS DE ADMINISTRACIÓN</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$9,419,071.05</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1242</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MOBILIARIO Y EQUIPO EDUCACIONAL Y RECREATIVO</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$23,377,141.18</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EQUIPOS Y APARATOS AUDIOVISUALES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$1,730,593.15</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12422</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APARATOS DEPORTIVOS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$96,076.10</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12423</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CÁMARAS FOTOGRÁFICAS Y DE VIDEO</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$7,040,884.57</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12429</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 MOBILIARIO Y EQUIPO EDUCACIONAL Y RECREATIVO</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$14,509,587.36</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1243</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EQUIPO E INSTRUMENTAL MEDICO Y DE LABORATORIO</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$5,355,855.72</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12431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MÉDICO Y DE LABORATORIO</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$5,240,557.17</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12432</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INSTRUMENTAL MÉDICO Y DE LABORATORIO</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$115,298.55</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1244</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VEHÍCULOS Y EQUIPO DE TRANSPORTE</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$643,290,254.73</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VEHÍCULOS Y EQUIPO TERRESTRE</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$607,398,322.91</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12442</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CARROCERÍAS Y REMOLQUES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$18,132,482.63</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lastRenderedPageBreak/>
                    <w:t>12443</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AEROESPACIAL</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$3,380,422.40</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12449</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OTROS EQUIPOS DE TRANSPORTE</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$14,379,026.79</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1245</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EQUIPO DE DEFENSA Y SEGURIDAD</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$79,762,059.64</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1245</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DE DEFENSA Y SEGURIDAD</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$79,762,059.64</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1246</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MAQUINARIA, OTROS EQUIPOS Y HERRAMIENTAS</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$282,209,553.57</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MAQUINARIA Y EQUIPO AGROPECUARIO</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$32,439,212.39</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12462</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MAQUINARIA Y EQUIPO INDUSTRIAL</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$11,566,552.71</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12463</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MAQUINARIA Y EQUIPO DE CONSTRUCCIÓN</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$64,348,814.51</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12464</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SISTEMAS DE AIRE ACONDICIONADO, CALEFACCIÓN Y DE REFRIGERACIÓN INDUSTRIAL Y COMERCIAL</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$2,286,626.37</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12465</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 DE COMUNICACIÓN Y TELECOMUNICACIÓN</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$95,047,828.33</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12466</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EQUIPOS DE GENERACIÓN ELÉCTRICA, APARATOS Y ACCESORIOS ELÉCTRICOS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$9,338,239.68</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12467</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HERRAMIENTAS Y MÁQUINAS-HERRAMIENTA</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$44,393,387.08</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12469</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OTROS EQUIPOS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$22,788,892.51</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1247</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COLECCIONES, OBRAS DE ARTE Y OBJETOS VALIOSOS</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$1,053,343.45</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12471</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BIENES ARTÍSTICOS, CULTURALES Y CIENTÍFICOS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$1,053,343.45</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b/>
                      <w:bCs/>
                      <w:color w:val="000000"/>
                      <w:sz w:val="20"/>
                      <w:szCs w:val="20"/>
                      <w:u w:val="single"/>
                      <w:lang w:eastAsia="es-MX"/>
                    </w:rPr>
                  </w:pPr>
                  <w:r w:rsidRPr="00E80680">
                    <w:rPr>
                      <w:rFonts w:ascii="Times New Roman" w:eastAsia="Times New Roman" w:hAnsi="Times New Roman"/>
                      <w:b/>
                      <w:bCs/>
                      <w:color w:val="000000"/>
                      <w:sz w:val="20"/>
                      <w:szCs w:val="20"/>
                      <w:u w:val="single"/>
                      <w:lang w:eastAsia="es-MX"/>
                    </w:rPr>
                    <w:t>1248</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b/>
                      <w:bCs/>
                      <w:color w:val="000000"/>
                      <w:sz w:val="20"/>
                      <w:szCs w:val="20"/>
                      <w:lang w:eastAsia="es-MX"/>
                    </w:rPr>
                  </w:pPr>
                  <w:r w:rsidRPr="00E80680">
                    <w:rPr>
                      <w:rFonts w:ascii="Times New Roman" w:eastAsia="Times New Roman" w:hAnsi="Times New Roman"/>
                      <w:b/>
                      <w:bCs/>
                      <w:color w:val="000000"/>
                      <w:sz w:val="20"/>
                      <w:szCs w:val="20"/>
                      <w:lang w:eastAsia="es-MX"/>
                    </w:rPr>
                    <w:t>ACTIVOS BIOLOGICOS</w:t>
                  </w:r>
                </w:p>
              </w:tc>
              <w:tc>
                <w:tcPr>
                  <w:tcW w:w="872" w:type="pct"/>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$1,563,736.83</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12483</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AVES</w:t>
                  </w:r>
                </w:p>
              </w:tc>
              <w:tc>
                <w:tcPr>
                  <w:tcW w:w="872" w:type="pct"/>
                  <w:shd w:val="clear" w:color="auto" w:fill="auto"/>
                  <w:noWrap/>
                  <w:vAlign w:val="center"/>
                  <w:hideMark/>
                </w:tcPr>
                <w:p w:rsidR="00390611" w:rsidRPr="00390611" w:rsidRDefault="00390611">
                  <w:pPr>
                    <w:contextualSpacing/>
                    <w:jc w:val="right"/>
                    <w:rPr>
                      <w:rFonts w:ascii="Times New Roman" w:hAnsi="Times New Roman"/>
                      <w:sz w:val="20"/>
                      <w:szCs w:val="20"/>
                    </w:rPr>
                  </w:pPr>
                  <w:r w:rsidRPr="00390611">
                    <w:rPr>
                      <w:rFonts w:ascii="Times New Roman" w:hAnsi="Times New Roman"/>
                      <w:sz w:val="20"/>
                      <w:szCs w:val="20"/>
                    </w:rPr>
                    <w:t>-$0.13</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12486</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EQUINOS</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$194,999.96</w:t>
                  </w:r>
                </w:p>
              </w:tc>
            </w:tr>
            <w:tr w:rsidR="00390611" w:rsidRPr="00E80680" w:rsidTr="000006C5">
              <w:trPr>
                <w:trHeight w:val="315"/>
              </w:trPr>
              <w:tc>
                <w:tcPr>
                  <w:tcW w:w="560" w:type="pct"/>
                  <w:shd w:val="clear" w:color="auto" w:fill="auto"/>
                  <w:noWrap/>
                  <w:vAlign w:val="center"/>
                  <w:hideMark/>
                </w:tcPr>
                <w:p w:rsidR="00390611" w:rsidRPr="00E80680" w:rsidRDefault="00390611" w:rsidP="000006C5">
                  <w:pPr>
                    <w:spacing w:after="0" w:line="240" w:lineRule="auto"/>
                    <w:contextualSpacing/>
                    <w:jc w:val="center"/>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12487</w:t>
                  </w:r>
                </w:p>
              </w:tc>
              <w:tc>
                <w:tcPr>
                  <w:tcW w:w="3568" w:type="pct"/>
                  <w:shd w:val="clear" w:color="auto" w:fill="auto"/>
                  <w:noWrap/>
                  <w:vAlign w:val="center"/>
                  <w:hideMark/>
                </w:tcPr>
                <w:p w:rsidR="00390611" w:rsidRPr="00E80680" w:rsidRDefault="00390611" w:rsidP="00E80680">
                  <w:pPr>
                    <w:spacing w:after="0" w:line="240" w:lineRule="auto"/>
                    <w:rPr>
                      <w:rFonts w:ascii="Times New Roman" w:eastAsia="Times New Roman" w:hAnsi="Times New Roman"/>
                      <w:color w:val="000000"/>
                      <w:sz w:val="20"/>
                      <w:szCs w:val="20"/>
                      <w:lang w:eastAsia="es-MX"/>
                    </w:rPr>
                  </w:pPr>
                  <w:r w:rsidRPr="00E80680">
                    <w:rPr>
                      <w:rFonts w:ascii="Times New Roman" w:eastAsia="Times New Roman" w:hAnsi="Times New Roman"/>
                      <w:color w:val="000000"/>
                      <w:sz w:val="20"/>
                      <w:szCs w:val="20"/>
                      <w:lang w:eastAsia="es-MX"/>
                    </w:rPr>
                    <w:t>ESPECIES MENORES Y DE ZOOLÓGICO</w:t>
                  </w:r>
                </w:p>
              </w:tc>
              <w:tc>
                <w:tcPr>
                  <w:tcW w:w="872" w:type="pct"/>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$1,368,737.00</w:t>
                  </w:r>
                </w:p>
              </w:tc>
            </w:tr>
          </w:tbl>
          <w:p w:rsidR="002A00BB" w:rsidRDefault="002A00BB"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E80680" w:rsidRDefault="00E80680"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spacing w:after="0" w:line="240" w:lineRule="auto"/>
              <w:rPr>
                <w:rFonts w:ascii="Times New Roman" w:eastAsia="Times New Roman" w:hAnsi="Times New Roman"/>
                <w:b/>
                <w:color w:val="000000"/>
                <w:sz w:val="20"/>
                <w:szCs w:val="20"/>
                <w:lang w:eastAsia="es-MX"/>
              </w:rPr>
            </w:pPr>
            <w:r w:rsidRPr="00C51B6B">
              <w:rPr>
                <w:rFonts w:ascii="Times New Roman" w:eastAsia="Times New Roman" w:hAnsi="Times New Roman"/>
                <w:b/>
                <w:color w:val="000000"/>
                <w:sz w:val="20"/>
                <w:szCs w:val="20"/>
                <w:lang w:eastAsia="es-MX"/>
              </w:rPr>
              <w:t xml:space="preserve">Activos Intangibles: </w:t>
            </w:r>
            <w:r w:rsidR="00390611" w:rsidRPr="00390611">
              <w:rPr>
                <w:rFonts w:ascii="Times New Roman" w:eastAsia="Times New Roman" w:hAnsi="Times New Roman"/>
                <w:b/>
                <w:color w:val="000000"/>
                <w:sz w:val="20"/>
                <w:szCs w:val="20"/>
                <w:u w:val="single"/>
                <w:lang w:eastAsia="es-MX"/>
              </w:rPr>
              <w:t>$108,612,910.10</w:t>
            </w:r>
          </w:p>
          <w:p w:rsidR="00E55666" w:rsidRPr="00C51B6B" w:rsidRDefault="00E55666" w:rsidP="009E215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90611" w:rsidRPr="00C51B6B" w:rsidTr="000006C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90611" w:rsidRPr="00C51B6B" w:rsidRDefault="00390611"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SOFTWARE</w:t>
                  </w:r>
                </w:p>
              </w:tc>
              <w:tc>
                <w:tcPr>
                  <w:tcW w:w="872" w:type="pct"/>
                  <w:tcBorders>
                    <w:top w:val="single" w:sz="4" w:space="0" w:color="auto"/>
                    <w:left w:val="nil"/>
                    <w:bottom w:val="single" w:sz="4" w:space="0" w:color="auto"/>
                    <w:right w:val="single" w:sz="4" w:space="0" w:color="auto"/>
                  </w:tcBorders>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$98,950,851.77</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hideMark/>
                </w:tcPr>
                <w:p w:rsidR="00390611" w:rsidRPr="00C51B6B" w:rsidRDefault="00390611" w:rsidP="00F02E77">
                  <w:pPr>
                    <w:spacing w:after="0" w:line="240" w:lineRule="auto"/>
                    <w:rPr>
                      <w:rFonts w:ascii="Times New Roman" w:eastAsia="Times New Roman" w:hAnsi="Times New Roman"/>
                      <w:color w:val="000000"/>
                      <w:sz w:val="20"/>
                      <w:szCs w:val="20"/>
                      <w:lang w:eastAsia="es-MX"/>
                    </w:rPr>
                  </w:pPr>
                  <w:r w:rsidRPr="00C51B6B">
                    <w:rPr>
                      <w:rFonts w:ascii="Times New Roman" w:eastAsia="Times New Roman" w:hAnsi="Times New Roman"/>
                      <w:color w:val="000000"/>
                      <w:sz w:val="20"/>
                      <w:szCs w:val="20"/>
                      <w:lang w:eastAsia="es-MX"/>
                    </w:rPr>
                    <w:t>LICENCIAS</w:t>
                  </w:r>
                </w:p>
              </w:tc>
              <w:tc>
                <w:tcPr>
                  <w:tcW w:w="872" w:type="pct"/>
                  <w:tcBorders>
                    <w:top w:val="nil"/>
                    <w:left w:val="nil"/>
                    <w:bottom w:val="single" w:sz="4" w:space="0" w:color="auto"/>
                    <w:right w:val="single" w:sz="4" w:space="0" w:color="auto"/>
                  </w:tcBorders>
                  <w:shd w:val="clear" w:color="auto" w:fill="auto"/>
                  <w:noWrap/>
                  <w:vAlign w:val="center"/>
                  <w:hideMark/>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$9,662,058.33</w:t>
                  </w:r>
                </w:p>
              </w:tc>
            </w:tr>
          </w:tbl>
          <w:p w:rsidR="00EF5F41"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w:t>
            </w:r>
          </w:p>
          <w:p w:rsidR="004D4D8A" w:rsidRPr="00C51B6B" w:rsidRDefault="004D4D8A"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  1.2.</w:t>
            </w:r>
            <w:r w:rsidRPr="00C51B6B">
              <w:rPr>
                <w:rFonts w:ascii="Times New Roman" w:hAnsi="Times New Roman"/>
                <w:b/>
                <w:bCs/>
                <w:color w:val="000000"/>
                <w:sz w:val="20"/>
                <w:szCs w:val="20"/>
                <w:lang w:eastAsia="es-MX"/>
              </w:rPr>
              <w:tab/>
              <w:t>Pasivo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Cuentas por Pagar a Corto Plazo.</w:t>
            </w:r>
          </w:p>
          <w:p w:rsidR="00E55666" w:rsidRPr="00C51B6B" w:rsidRDefault="00E55666" w:rsidP="009E2155">
            <w:pPr>
              <w:autoSpaceDE w:val="0"/>
              <w:autoSpaceDN w:val="0"/>
              <w:adjustRightInd w:val="0"/>
              <w:spacing w:after="0" w:line="240" w:lineRule="auto"/>
              <w:jc w:val="both"/>
              <w:rPr>
                <w:rFonts w:ascii="Times New Roman" w:hAnsi="Times New Roman"/>
                <w:b/>
                <w:bCs/>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Son los compromisos adquiridos con los proveedores y contratistas por las obligaciones a cargo del Municipio con motivo de las adquisiciones de materiales e insumos así como la prestación de servicios, atendiendo en su caso los compromisos de pago establecidos en los contratos respectivos; así como las obligaciones por los importes retenidos al personal por las remuneraciones por un servicio personal subordinado, previsto en el Titulo IV, Capítulo I, artículo 94, fracción I, de la Ley del Impuesto Sobre la Renta, así como los importes retenidos a personas físicas por la prestación de servicios profesionales independientes y arrendamiento de inmuebles.</w:t>
            </w:r>
          </w:p>
          <w:p w:rsidR="00C25BF5" w:rsidRPr="00C51B6B" w:rsidRDefault="00C25BF5"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226"/>
              <w:gridCol w:w="1526"/>
            </w:tblGrid>
            <w:tr w:rsidR="00390611" w:rsidRPr="00C51B6B" w:rsidTr="000006C5">
              <w:trPr>
                <w:trHeight w:val="255"/>
              </w:trPr>
              <w:tc>
                <w:tcPr>
                  <w:tcW w:w="4128"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SERVICIOS PERSONALES POR PAGAR A CORTO PLAZO</w:t>
                  </w:r>
                </w:p>
              </w:tc>
              <w:tc>
                <w:tcPr>
                  <w:tcW w:w="872" w:type="pct"/>
                  <w:tcBorders>
                    <w:top w:val="single" w:sz="4" w:space="0" w:color="auto"/>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$48,020,642.08</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SERVICIOS PERSONALES POR PAGAR A CORTO PLAZO NÓMINA ZAPOPAN</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$90,546.52</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PROVEEDORES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$3,811,182.91</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PROVEEDORES TRANSITORIOS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$354,903.98</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CONTRATISTAS POR OBRAS PUBLICAS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$1,639,003.15</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TRANSFERENCIAS OTORGADAS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$209,255.80</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lastRenderedPageBreak/>
                    <w:t>RETENCIONES SOBRE IMPUESTO SOBRE LA RENTA</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$31,541,568.99</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SINDICATOS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$330,643.35</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PENSIONES ALIMENTICIAS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$1,022,663.86</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APOYO MUTUALIDADES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$748,633.10</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DIRECCION DE PENSIONES DEL ESTADO</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$186,630.76</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RETENCIONES A FAVOR DE TERCEROS VIA NOMINA</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$2,114,057.13</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OTRAS RETENCIONES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$65,163.49</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DEV. LEY DE INGRESOS POR IMPUESTOS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$7,975,705.39</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DEV. LEY DE INGRESOS POR CONTRIBUCIONES DE MEJORA</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$0.00</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DEV. LEY DE INGRESOS POR DERECHOS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$1,088,605.07</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DEV. LEY DE INGRESOS POR PRODUCTOS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$825.15</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DEV. LEY DE INGRESOS POR APROVECHAMIENTOS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$24,864.37</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DEV. FONDOS CON AFECTACION ESPECIFICA</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$0.00</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OTRAS CUENTAS POR PAGAR A CORTO PLAZO</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$7,939,610.26</w:t>
                  </w:r>
                </w:p>
              </w:tc>
            </w:tr>
            <w:tr w:rsidR="00390611" w:rsidRPr="00C51B6B" w:rsidTr="000006C5">
              <w:trPr>
                <w:trHeight w:val="255"/>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color w:val="000000"/>
                      <w:sz w:val="20"/>
                      <w:szCs w:val="20"/>
                    </w:rPr>
                  </w:pPr>
                  <w:r w:rsidRPr="00390611">
                    <w:rPr>
                      <w:rFonts w:ascii="Times New Roman" w:hAnsi="Times New Roman"/>
                      <w:color w:val="000000"/>
                      <w:sz w:val="20"/>
                      <w:szCs w:val="20"/>
                    </w:rPr>
                    <w:t>INCENTIVOS FISCALES</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color w:val="000000"/>
                      <w:sz w:val="20"/>
                      <w:szCs w:val="20"/>
                    </w:rPr>
                  </w:pPr>
                  <w:r w:rsidRPr="00390611">
                    <w:rPr>
                      <w:rFonts w:ascii="Times New Roman" w:hAnsi="Times New Roman"/>
                      <w:color w:val="000000"/>
                      <w:sz w:val="20"/>
                      <w:szCs w:val="20"/>
                    </w:rPr>
                    <w:t>$4,310,583.44</w:t>
                  </w:r>
                </w:p>
              </w:tc>
            </w:tr>
            <w:tr w:rsidR="00390611" w:rsidRPr="00C51B6B" w:rsidTr="000006C5">
              <w:trPr>
                <w:trHeight w:val="364"/>
              </w:trPr>
              <w:tc>
                <w:tcPr>
                  <w:tcW w:w="4128" w:type="pct"/>
                  <w:tcBorders>
                    <w:top w:val="nil"/>
                    <w:left w:val="single" w:sz="4" w:space="0" w:color="auto"/>
                    <w:bottom w:val="single" w:sz="4" w:space="0" w:color="auto"/>
                    <w:right w:val="single" w:sz="4" w:space="0" w:color="auto"/>
                  </w:tcBorders>
                  <w:shd w:val="clear" w:color="auto" w:fill="auto"/>
                  <w:noWrap/>
                  <w:vAlign w:val="center"/>
                </w:tcPr>
                <w:p w:rsidR="00390611" w:rsidRPr="00390611" w:rsidRDefault="00390611" w:rsidP="00390611">
                  <w:pPr>
                    <w:spacing w:after="0"/>
                    <w:rPr>
                      <w:rFonts w:ascii="Times New Roman" w:hAnsi="Times New Roman"/>
                      <w:b/>
                      <w:bCs/>
                      <w:color w:val="000000"/>
                      <w:sz w:val="20"/>
                      <w:szCs w:val="20"/>
                    </w:rPr>
                  </w:pPr>
                  <w:r w:rsidRPr="00390611">
                    <w:rPr>
                      <w:rFonts w:ascii="Times New Roman" w:hAnsi="Times New Roman"/>
                      <w:b/>
                      <w:bCs/>
                      <w:color w:val="000000"/>
                      <w:sz w:val="20"/>
                      <w:szCs w:val="20"/>
                    </w:rPr>
                    <w:t>TOTAL</w:t>
                  </w:r>
                </w:p>
              </w:tc>
              <w:tc>
                <w:tcPr>
                  <w:tcW w:w="872" w:type="pct"/>
                  <w:tcBorders>
                    <w:top w:val="nil"/>
                    <w:left w:val="nil"/>
                    <w:bottom w:val="single" w:sz="4" w:space="0" w:color="auto"/>
                    <w:right w:val="single" w:sz="4" w:space="0" w:color="auto"/>
                  </w:tcBorders>
                  <w:shd w:val="clear" w:color="auto" w:fill="auto"/>
                  <w:noWrap/>
                  <w:vAlign w:val="center"/>
                </w:tcPr>
                <w:p w:rsidR="00390611" w:rsidRPr="00390611" w:rsidRDefault="00390611" w:rsidP="00390611">
                  <w:pPr>
                    <w:spacing w:after="0"/>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$111,475,088.80</w:t>
                  </w:r>
                </w:p>
              </w:tc>
            </w:tr>
          </w:tbl>
          <w:p w:rsidR="000E72A3" w:rsidRPr="00C51B6B" w:rsidRDefault="000E72A3" w:rsidP="00513433">
            <w:pPr>
              <w:autoSpaceDE w:val="0"/>
              <w:autoSpaceDN w:val="0"/>
              <w:adjustRightInd w:val="0"/>
              <w:spacing w:after="0" w:line="240" w:lineRule="auto"/>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b/>
                <w:bCs/>
                <w:color w:val="000000"/>
                <w:sz w:val="20"/>
                <w:szCs w:val="20"/>
                <w:lang w:eastAsia="es-MX"/>
              </w:rPr>
              <w:t>Pasivos Diferidos a Corto Plazo</w:t>
            </w:r>
            <w:r w:rsidRPr="00C51B6B">
              <w:rPr>
                <w:rFonts w:ascii="Times New Roman" w:hAnsi="Times New Roman"/>
                <w:color w:val="000000"/>
                <w:sz w:val="20"/>
                <w:szCs w:val="20"/>
                <w:lang w:eastAsia="es-MX"/>
              </w:rPr>
              <w:t>: Se integra de las obligaciones por pagar derivado de operaciones presupuestarias devengadas pendientes de pagar.</w:t>
            </w:r>
          </w:p>
          <w:p w:rsidR="00E02273" w:rsidRPr="00C51B6B" w:rsidRDefault="00E02273"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Style w:val="Tablaconcuadrcula"/>
              <w:tblW w:w="0" w:type="auto"/>
              <w:tblLayout w:type="fixed"/>
              <w:tblLook w:val="01E0" w:firstRow="1" w:lastRow="1" w:firstColumn="1" w:lastColumn="1" w:noHBand="0" w:noVBand="0"/>
            </w:tblPr>
            <w:tblGrid>
              <w:gridCol w:w="7209"/>
              <w:gridCol w:w="1537"/>
            </w:tblGrid>
            <w:tr w:rsidR="000E761D" w:rsidRPr="00C51B6B" w:rsidTr="000006C5">
              <w:tc>
                <w:tcPr>
                  <w:tcW w:w="7209" w:type="dxa"/>
                </w:tcPr>
                <w:p w:rsidR="000E761D" w:rsidRPr="00C51B6B" w:rsidRDefault="000E761D" w:rsidP="009E2155">
                  <w:pPr>
                    <w:rPr>
                      <w:rFonts w:ascii="Times New Roman" w:eastAsia="Times New Roman" w:hAnsi="Times New Roman"/>
                      <w:b/>
                      <w:bCs/>
                      <w:color w:val="000000"/>
                    </w:rPr>
                  </w:pPr>
                  <w:r w:rsidRPr="00C51B6B">
                    <w:rPr>
                      <w:rFonts w:ascii="Times New Roman" w:eastAsia="Times New Roman" w:hAnsi="Times New Roman"/>
                      <w:b/>
                      <w:bCs/>
                      <w:color w:val="000000"/>
                    </w:rPr>
                    <w:t>TOTAL</w:t>
                  </w:r>
                </w:p>
              </w:tc>
              <w:tc>
                <w:tcPr>
                  <w:tcW w:w="1537" w:type="dxa"/>
                </w:tcPr>
                <w:p w:rsidR="000E761D" w:rsidRPr="00C51B6B" w:rsidRDefault="000E761D" w:rsidP="00790F5F">
                  <w:pPr>
                    <w:jc w:val="right"/>
                    <w:rPr>
                      <w:rFonts w:ascii="Times New Roman" w:eastAsia="Times New Roman" w:hAnsi="Times New Roman"/>
                      <w:b/>
                      <w:bCs/>
                      <w:color w:val="000000"/>
                      <w:u w:val="single"/>
                    </w:rPr>
                  </w:pPr>
                  <w:r w:rsidRPr="00C51B6B">
                    <w:rPr>
                      <w:rFonts w:ascii="Times New Roman" w:eastAsia="Times New Roman" w:hAnsi="Times New Roman"/>
                      <w:b/>
                      <w:bCs/>
                      <w:color w:val="000000"/>
                      <w:u w:val="single"/>
                    </w:rPr>
                    <w:t>$</w:t>
                  </w:r>
                  <w:r w:rsidR="00790F5F" w:rsidRPr="00C51B6B">
                    <w:rPr>
                      <w:rFonts w:ascii="Times New Roman" w:eastAsia="Times New Roman" w:hAnsi="Times New Roman"/>
                      <w:b/>
                      <w:bCs/>
                      <w:color w:val="000000"/>
                      <w:u w:val="single"/>
                    </w:rPr>
                    <w:t>0.00</w:t>
                  </w:r>
                </w:p>
              </w:tc>
            </w:tr>
          </w:tbl>
          <w:p w:rsidR="00513433" w:rsidRDefault="00513433"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B86C0A" w:rsidRPr="00C51B6B" w:rsidRDefault="00B86C0A" w:rsidP="009E2155">
            <w:pPr>
              <w:autoSpaceDE w:val="0"/>
              <w:autoSpaceDN w:val="0"/>
              <w:adjustRightInd w:val="0"/>
              <w:spacing w:after="0" w:line="240" w:lineRule="auto"/>
              <w:jc w:val="both"/>
              <w:rPr>
                <w:rFonts w:ascii="Times New Roman" w:hAnsi="Times New Roman"/>
                <w:b/>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Otros Pasivos a Corto Plazo:</w:t>
            </w:r>
          </w:p>
          <w:p w:rsidR="00E55666" w:rsidRPr="00C51B6B" w:rsidRDefault="00E55666" w:rsidP="009E2155">
            <w:pPr>
              <w:autoSpaceDE w:val="0"/>
              <w:autoSpaceDN w:val="0"/>
              <w:adjustRightInd w:val="0"/>
              <w:spacing w:after="0" w:line="240" w:lineRule="auto"/>
              <w:jc w:val="both"/>
              <w:rPr>
                <w:rFonts w:ascii="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163"/>
              <w:gridCol w:w="1589"/>
            </w:tblGrid>
            <w:tr w:rsidR="00390611" w:rsidRPr="00C51B6B" w:rsidTr="000006C5">
              <w:trPr>
                <w:trHeight w:val="255"/>
              </w:trPr>
              <w:tc>
                <w:tcPr>
                  <w:tcW w:w="4092" w:type="pct"/>
                  <w:tcBorders>
                    <w:top w:val="single" w:sz="4" w:space="0" w:color="auto"/>
                    <w:left w:val="single" w:sz="4" w:space="0" w:color="auto"/>
                    <w:bottom w:val="single" w:sz="4" w:space="0" w:color="auto"/>
                    <w:right w:val="single" w:sz="4" w:space="0" w:color="auto"/>
                  </w:tcBorders>
                  <w:shd w:val="clear" w:color="auto" w:fill="auto"/>
                  <w:noWrap/>
                  <w:vAlign w:val="center"/>
                </w:tcPr>
                <w:p w:rsidR="00390611" w:rsidRPr="00513433" w:rsidRDefault="00390611" w:rsidP="00513433">
                  <w:pPr>
                    <w:spacing w:after="0"/>
                    <w:rPr>
                      <w:rFonts w:ascii="Times New Roman" w:hAnsi="Times New Roman"/>
                      <w:color w:val="000000"/>
                      <w:sz w:val="20"/>
                      <w:szCs w:val="20"/>
                    </w:rPr>
                  </w:pPr>
                  <w:r w:rsidRPr="00513433">
                    <w:rPr>
                      <w:rFonts w:ascii="Times New Roman" w:hAnsi="Times New Roman"/>
                      <w:color w:val="000000"/>
                      <w:sz w:val="20"/>
                      <w:szCs w:val="20"/>
                    </w:rPr>
                    <w:t>SOBRANTES POR CLASIFICAR</w:t>
                  </w:r>
                </w:p>
              </w:tc>
              <w:tc>
                <w:tcPr>
                  <w:tcW w:w="908" w:type="pct"/>
                  <w:tcBorders>
                    <w:top w:val="single" w:sz="4" w:space="0" w:color="auto"/>
                    <w:left w:val="nil"/>
                    <w:bottom w:val="single" w:sz="4" w:space="0" w:color="auto"/>
                    <w:right w:val="single" w:sz="4" w:space="0" w:color="auto"/>
                  </w:tcBorders>
                  <w:shd w:val="clear" w:color="auto" w:fill="auto"/>
                  <w:noWrap/>
                  <w:vAlign w:val="center"/>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$11,199.20</w:t>
                  </w:r>
                </w:p>
              </w:tc>
            </w:tr>
            <w:tr w:rsidR="00390611" w:rsidRPr="00C51B6B" w:rsidTr="000006C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0611" w:rsidRPr="00513433" w:rsidRDefault="00390611" w:rsidP="00513433">
                  <w:pPr>
                    <w:spacing w:after="0"/>
                    <w:rPr>
                      <w:rFonts w:ascii="Times New Roman" w:hAnsi="Times New Roman"/>
                      <w:color w:val="000000"/>
                      <w:sz w:val="20"/>
                      <w:szCs w:val="20"/>
                    </w:rPr>
                  </w:pPr>
                  <w:r w:rsidRPr="00513433">
                    <w:rPr>
                      <w:rFonts w:ascii="Times New Roman" w:hAnsi="Times New Roman"/>
                      <w:color w:val="000000"/>
                      <w:sz w:val="20"/>
                      <w:szCs w:val="20"/>
                    </w:rPr>
                    <w:t>SINIESTROS POR RECUPERAR EMPLEADOS</w:t>
                  </w:r>
                </w:p>
              </w:tc>
              <w:tc>
                <w:tcPr>
                  <w:tcW w:w="908" w:type="pct"/>
                  <w:tcBorders>
                    <w:top w:val="nil"/>
                    <w:left w:val="nil"/>
                    <w:bottom w:val="single" w:sz="4" w:space="0" w:color="auto"/>
                    <w:right w:val="single" w:sz="4" w:space="0" w:color="auto"/>
                  </w:tcBorders>
                  <w:shd w:val="clear" w:color="auto" w:fill="auto"/>
                  <w:noWrap/>
                  <w:vAlign w:val="center"/>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$355,759.50</w:t>
                  </w:r>
                </w:p>
              </w:tc>
            </w:tr>
            <w:tr w:rsidR="00390611" w:rsidRPr="00C51B6B" w:rsidTr="000006C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0611" w:rsidRPr="00513433" w:rsidRDefault="00390611" w:rsidP="00513433">
                  <w:pPr>
                    <w:spacing w:after="0"/>
                    <w:rPr>
                      <w:rFonts w:ascii="Times New Roman" w:hAnsi="Times New Roman"/>
                      <w:color w:val="000000"/>
                      <w:sz w:val="20"/>
                      <w:szCs w:val="20"/>
                    </w:rPr>
                  </w:pPr>
                  <w:r w:rsidRPr="00513433">
                    <w:rPr>
                      <w:rFonts w:ascii="Times New Roman" w:hAnsi="Times New Roman"/>
                      <w:color w:val="000000"/>
                      <w:sz w:val="20"/>
                      <w:szCs w:val="20"/>
                    </w:rPr>
                    <w:t>INGRESOS POR CARGOS DUPLICADOS</w:t>
                  </w:r>
                </w:p>
              </w:tc>
              <w:tc>
                <w:tcPr>
                  <w:tcW w:w="908" w:type="pct"/>
                  <w:tcBorders>
                    <w:top w:val="nil"/>
                    <w:left w:val="nil"/>
                    <w:bottom w:val="single" w:sz="4" w:space="0" w:color="auto"/>
                    <w:right w:val="single" w:sz="4" w:space="0" w:color="auto"/>
                  </w:tcBorders>
                  <w:shd w:val="clear" w:color="auto" w:fill="auto"/>
                  <w:noWrap/>
                  <w:vAlign w:val="center"/>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$26,007.40</w:t>
                  </w:r>
                </w:p>
              </w:tc>
            </w:tr>
            <w:tr w:rsidR="00390611" w:rsidRPr="00C51B6B" w:rsidTr="000006C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0611" w:rsidRPr="00513433" w:rsidRDefault="00390611" w:rsidP="00513433">
                  <w:pPr>
                    <w:spacing w:after="0"/>
                    <w:rPr>
                      <w:rFonts w:ascii="Times New Roman" w:hAnsi="Times New Roman"/>
                      <w:color w:val="000000"/>
                      <w:sz w:val="20"/>
                      <w:szCs w:val="20"/>
                    </w:rPr>
                  </w:pPr>
                  <w:r w:rsidRPr="00513433">
                    <w:rPr>
                      <w:rFonts w:ascii="Times New Roman" w:hAnsi="Times New Roman"/>
                      <w:color w:val="000000"/>
                      <w:sz w:val="20"/>
                      <w:szCs w:val="20"/>
                    </w:rPr>
                    <w:t>TRANSMISIONES PATRIMONIALES</w:t>
                  </w:r>
                </w:p>
              </w:tc>
              <w:tc>
                <w:tcPr>
                  <w:tcW w:w="908" w:type="pct"/>
                  <w:tcBorders>
                    <w:top w:val="nil"/>
                    <w:left w:val="nil"/>
                    <w:bottom w:val="single" w:sz="4" w:space="0" w:color="auto"/>
                    <w:right w:val="single" w:sz="4" w:space="0" w:color="auto"/>
                  </w:tcBorders>
                  <w:shd w:val="clear" w:color="auto" w:fill="auto"/>
                  <w:noWrap/>
                  <w:vAlign w:val="center"/>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$212,286.77</w:t>
                  </w:r>
                </w:p>
              </w:tc>
            </w:tr>
            <w:tr w:rsidR="00390611" w:rsidRPr="00C51B6B" w:rsidTr="000006C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0611" w:rsidRPr="00513433" w:rsidRDefault="00390611" w:rsidP="00513433">
                  <w:pPr>
                    <w:spacing w:after="0"/>
                    <w:rPr>
                      <w:rFonts w:ascii="Times New Roman" w:hAnsi="Times New Roman"/>
                      <w:color w:val="000000"/>
                      <w:sz w:val="20"/>
                      <w:szCs w:val="20"/>
                    </w:rPr>
                  </w:pPr>
                  <w:r w:rsidRPr="00513433">
                    <w:rPr>
                      <w:rFonts w:ascii="Times New Roman" w:hAnsi="Times New Roman"/>
                      <w:color w:val="000000"/>
                      <w:sz w:val="20"/>
                      <w:szCs w:val="20"/>
                    </w:rPr>
                    <w:t>IMPUESTOS TRIBUTARIOS A FAVOR DE CONTRIBUYENTES</w:t>
                  </w:r>
                </w:p>
              </w:tc>
              <w:tc>
                <w:tcPr>
                  <w:tcW w:w="908" w:type="pct"/>
                  <w:tcBorders>
                    <w:top w:val="nil"/>
                    <w:left w:val="nil"/>
                    <w:bottom w:val="single" w:sz="4" w:space="0" w:color="auto"/>
                    <w:right w:val="single" w:sz="4" w:space="0" w:color="auto"/>
                  </w:tcBorders>
                  <w:shd w:val="clear" w:color="auto" w:fill="auto"/>
                  <w:noWrap/>
                  <w:vAlign w:val="center"/>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$125,262,816.22</w:t>
                  </w:r>
                </w:p>
              </w:tc>
            </w:tr>
            <w:tr w:rsidR="00390611" w:rsidRPr="00C51B6B" w:rsidTr="000006C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tcPr>
                <w:p w:rsidR="00390611" w:rsidRPr="00513433" w:rsidRDefault="00390611" w:rsidP="00513433">
                  <w:pPr>
                    <w:spacing w:after="0"/>
                    <w:rPr>
                      <w:rFonts w:ascii="Times New Roman" w:hAnsi="Times New Roman"/>
                      <w:color w:val="000000"/>
                      <w:sz w:val="20"/>
                      <w:szCs w:val="20"/>
                    </w:rPr>
                  </w:pPr>
                  <w:r w:rsidRPr="00513433">
                    <w:rPr>
                      <w:rFonts w:ascii="Times New Roman" w:hAnsi="Times New Roman"/>
                      <w:color w:val="000000"/>
                      <w:sz w:val="20"/>
                      <w:szCs w:val="20"/>
                    </w:rPr>
                    <w:t>DEPOSITOS EN GARANTIA POR CONCECIONES</w:t>
                  </w:r>
                </w:p>
              </w:tc>
              <w:tc>
                <w:tcPr>
                  <w:tcW w:w="908" w:type="pct"/>
                  <w:tcBorders>
                    <w:top w:val="nil"/>
                    <w:left w:val="nil"/>
                    <w:bottom w:val="single" w:sz="4" w:space="0" w:color="auto"/>
                    <w:right w:val="single" w:sz="4" w:space="0" w:color="auto"/>
                  </w:tcBorders>
                  <w:shd w:val="clear" w:color="auto" w:fill="auto"/>
                  <w:noWrap/>
                  <w:vAlign w:val="center"/>
                </w:tcPr>
                <w:p w:rsidR="00390611" w:rsidRPr="00390611" w:rsidRDefault="00390611">
                  <w:pPr>
                    <w:contextualSpacing/>
                    <w:jc w:val="right"/>
                    <w:rPr>
                      <w:rFonts w:ascii="Times New Roman" w:hAnsi="Times New Roman"/>
                      <w:color w:val="000000"/>
                      <w:sz w:val="20"/>
                      <w:szCs w:val="20"/>
                    </w:rPr>
                  </w:pPr>
                  <w:r w:rsidRPr="00390611">
                    <w:rPr>
                      <w:rFonts w:ascii="Times New Roman" w:hAnsi="Times New Roman"/>
                      <w:color w:val="000000"/>
                      <w:sz w:val="20"/>
                      <w:szCs w:val="20"/>
                    </w:rPr>
                    <w:t>$23,009.00</w:t>
                  </w:r>
                </w:p>
              </w:tc>
            </w:tr>
            <w:tr w:rsidR="00390611" w:rsidRPr="00C51B6B" w:rsidTr="000006C5">
              <w:trPr>
                <w:trHeight w:val="255"/>
              </w:trPr>
              <w:tc>
                <w:tcPr>
                  <w:tcW w:w="4092" w:type="pct"/>
                  <w:tcBorders>
                    <w:top w:val="nil"/>
                    <w:left w:val="single" w:sz="4" w:space="0" w:color="auto"/>
                    <w:bottom w:val="single" w:sz="4" w:space="0" w:color="auto"/>
                    <w:right w:val="single" w:sz="4" w:space="0" w:color="auto"/>
                  </w:tcBorders>
                  <w:shd w:val="clear" w:color="auto" w:fill="auto"/>
                  <w:noWrap/>
                  <w:vAlign w:val="center"/>
                  <w:hideMark/>
                </w:tcPr>
                <w:p w:rsidR="00390611" w:rsidRPr="00513433" w:rsidRDefault="00390611" w:rsidP="00513433">
                  <w:pPr>
                    <w:spacing w:after="0"/>
                    <w:rPr>
                      <w:rFonts w:ascii="Times New Roman" w:hAnsi="Times New Roman"/>
                      <w:b/>
                      <w:bCs/>
                      <w:color w:val="000000"/>
                      <w:sz w:val="20"/>
                      <w:szCs w:val="20"/>
                    </w:rPr>
                  </w:pPr>
                  <w:r w:rsidRPr="00513433">
                    <w:rPr>
                      <w:rFonts w:ascii="Times New Roman" w:hAnsi="Times New Roman"/>
                      <w:b/>
                      <w:bCs/>
                      <w:color w:val="000000"/>
                      <w:sz w:val="20"/>
                      <w:szCs w:val="20"/>
                    </w:rPr>
                    <w:t>TOTAL</w:t>
                  </w:r>
                </w:p>
              </w:tc>
              <w:tc>
                <w:tcPr>
                  <w:tcW w:w="908" w:type="pct"/>
                  <w:tcBorders>
                    <w:top w:val="nil"/>
                    <w:left w:val="nil"/>
                    <w:bottom w:val="single" w:sz="4" w:space="0" w:color="auto"/>
                    <w:right w:val="single" w:sz="4" w:space="0" w:color="auto"/>
                  </w:tcBorders>
                  <w:shd w:val="clear" w:color="auto" w:fill="auto"/>
                  <w:noWrap/>
                  <w:vAlign w:val="center"/>
                  <w:hideMark/>
                </w:tcPr>
                <w:p w:rsidR="00390611" w:rsidRPr="00390611" w:rsidRDefault="00390611">
                  <w:pPr>
                    <w:contextualSpacing/>
                    <w:jc w:val="right"/>
                    <w:rPr>
                      <w:rFonts w:ascii="Times New Roman" w:hAnsi="Times New Roman"/>
                      <w:b/>
                      <w:bCs/>
                      <w:color w:val="000000"/>
                      <w:sz w:val="20"/>
                      <w:szCs w:val="20"/>
                      <w:u w:val="single"/>
                    </w:rPr>
                  </w:pPr>
                  <w:r w:rsidRPr="00390611">
                    <w:rPr>
                      <w:rFonts w:ascii="Times New Roman" w:hAnsi="Times New Roman"/>
                      <w:b/>
                      <w:bCs/>
                      <w:color w:val="000000"/>
                      <w:sz w:val="20"/>
                      <w:szCs w:val="20"/>
                      <w:u w:val="single"/>
                    </w:rPr>
                    <w:t>$125,891,078.09</w:t>
                  </w:r>
                </w:p>
              </w:tc>
            </w:tr>
          </w:tbl>
          <w:p w:rsidR="00C51B6B" w:rsidRPr="00C51B6B" w:rsidRDefault="00C51B6B" w:rsidP="00513433">
            <w:pPr>
              <w:spacing w:after="0"/>
              <w:contextualSpacing/>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ind w:left="360" w:hanging="360"/>
              <w:jc w:val="both"/>
              <w:rPr>
                <w:rFonts w:ascii="Times New Roman" w:hAnsi="Times New Roman"/>
                <w:b/>
                <w:color w:val="000000"/>
                <w:sz w:val="20"/>
                <w:szCs w:val="20"/>
                <w:lang w:eastAsia="es-MX"/>
              </w:rPr>
            </w:pPr>
            <w:r w:rsidRPr="00C51B6B">
              <w:rPr>
                <w:rFonts w:ascii="Times New Roman" w:hAnsi="Times New Roman"/>
                <w:b/>
                <w:color w:val="000000"/>
                <w:sz w:val="20"/>
                <w:szCs w:val="20"/>
                <w:lang w:eastAsia="es-MX"/>
              </w:rPr>
              <w:t>2.</w:t>
            </w:r>
            <w:r w:rsidRPr="00C51B6B">
              <w:rPr>
                <w:rFonts w:ascii="Times New Roman" w:hAnsi="Times New Roman"/>
                <w:b/>
                <w:color w:val="000000"/>
                <w:sz w:val="20"/>
                <w:szCs w:val="20"/>
                <w:lang w:eastAsia="es-MX"/>
              </w:rPr>
              <w:tab/>
              <w:t>Notas al Estado de Actividades.</w:t>
            </w:r>
          </w:p>
          <w:p w:rsidR="000E761D" w:rsidRPr="00C51B6B" w:rsidRDefault="000E761D" w:rsidP="009E2155">
            <w:pPr>
              <w:autoSpaceDE w:val="0"/>
              <w:autoSpaceDN w:val="0"/>
              <w:adjustRightInd w:val="0"/>
              <w:spacing w:after="0" w:line="240" w:lineRule="auto"/>
              <w:ind w:left="360" w:hanging="360"/>
              <w:jc w:val="both"/>
              <w:rPr>
                <w:rFonts w:ascii="Times New Roman" w:hAnsi="Times New Roman"/>
                <w:color w:val="000000"/>
                <w:sz w:val="20"/>
                <w:szCs w:val="20"/>
                <w:lang w:eastAsia="es-MX"/>
              </w:rPr>
            </w:pP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desglose de los ingresos y otros beneficios recibidos por el Municipio se presenta por rubro, tipo y clase en el propio Estado de Actividades.</w:t>
            </w:r>
          </w:p>
          <w:p w:rsidR="000E27F9" w:rsidRPr="00C51B6B" w:rsidRDefault="000E27F9" w:rsidP="00C51B6B">
            <w:pPr>
              <w:autoSpaceDE w:val="0"/>
              <w:autoSpaceDN w:val="0"/>
              <w:adjustRightInd w:val="0"/>
              <w:spacing w:after="0" w:line="240" w:lineRule="auto"/>
              <w:jc w:val="both"/>
              <w:rPr>
                <w:rFonts w:ascii="Times New Roman" w:hAnsi="Times New Roman"/>
                <w:color w:val="000000"/>
                <w:sz w:val="20"/>
                <w:szCs w:val="20"/>
                <w:lang w:eastAsia="es-MX"/>
              </w:rPr>
            </w:pPr>
          </w:p>
          <w:p w:rsidR="000E761D" w:rsidRPr="00C51B6B" w:rsidRDefault="00CC399D" w:rsidP="00CC399D">
            <w:pPr>
              <w:autoSpaceDE w:val="0"/>
              <w:autoSpaceDN w:val="0"/>
              <w:adjustRightInd w:val="0"/>
              <w:spacing w:after="0" w:line="240" w:lineRule="auto"/>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 xml:space="preserve">2.1.   </w:t>
            </w:r>
            <w:r w:rsidR="000E761D" w:rsidRPr="00C51B6B">
              <w:rPr>
                <w:rFonts w:ascii="Times New Roman" w:hAnsi="Times New Roman"/>
                <w:b/>
                <w:bCs/>
                <w:color w:val="000000"/>
                <w:sz w:val="20"/>
                <w:szCs w:val="20"/>
                <w:lang w:eastAsia="es-MX"/>
              </w:rPr>
              <w:t xml:space="preserve">Ingresos y otros beneficios </w:t>
            </w:r>
          </w:p>
          <w:p w:rsidR="00CC399D" w:rsidRPr="00C51B6B" w:rsidRDefault="00CC399D" w:rsidP="00C25BF5">
            <w:pPr>
              <w:spacing w:after="0" w:line="240" w:lineRule="auto"/>
              <w:rPr>
                <w:rFonts w:ascii="Times New Roman" w:eastAsia="Times New Roman" w:hAnsi="Times New Roman"/>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7078"/>
              <w:gridCol w:w="1664"/>
            </w:tblGrid>
            <w:tr w:rsidR="000006C5" w:rsidRPr="000006C5" w:rsidTr="00EC61E8">
              <w:trPr>
                <w:trHeight w:val="386"/>
              </w:trPr>
              <w:tc>
                <w:tcPr>
                  <w:tcW w:w="404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IMPUESTOS SOBRE LOS INGRESOS - ESPECTACULOS PÚBLICOS</w:t>
                  </w:r>
                </w:p>
              </w:tc>
              <w:tc>
                <w:tcPr>
                  <w:tcW w:w="952" w:type="pct"/>
                  <w:tcBorders>
                    <w:top w:val="single" w:sz="8" w:space="0" w:color="auto"/>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$39,485,762.59</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IMPUESTOS SOBRE EL PATRIMONIO - IMPUESTO PREDIAL</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$1,232,012,080.08</w:t>
                  </w:r>
                </w:p>
              </w:tc>
            </w:tr>
            <w:tr w:rsidR="000006C5" w:rsidRPr="000006C5" w:rsidTr="00EC61E8">
              <w:trPr>
                <w:trHeight w:val="639"/>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IMPUESTOS SOBRE LA PRODUCCIÓN, EL CONSUMO Y LAS TRANSACCIONES - IMPUESTO SOBRE TRANSMISIONES PATRIMONIALES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$527,415,672.66</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IMPUESTOS SOBRE LA PRODUCCIÓN, EL CONSUMO Y LAS TRANSACCIONES - IMPUESTO SOBRE NEGOCIOS JURÍDICOS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$40,743,430.10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IMPUESTOS - MULTAS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$14,804,747.07</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lastRenderedPageBreak/>
                    <w:t>ACCESORIOS DE IMPUESTOS - RECARGOS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$39,883,659.45</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IMPUESTOS - GASTOS DE EJECUCIÓN Y NOTIFICACIÓN DE ADEUDO</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$9,952,143.43</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IMPUESTOS - ACTUALIZACIÓN</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$17,959,929.82</w:t>
                  </w:r>
                </w:p>
              </w:tc>
            </w:tr>
            <w:tr w:rsidR="000006C5" w:rsidRPr="000006C5" w:rsidTr="00EC61E8">
              <w:trPr>
                <w:trHeight w:val="294"/>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IMPUESTOS - FINANCIAMIENTO POR CONVENIOS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$112,981.03</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CONTRIBUCIONES DE MEJORAS POR OBRAS PÚBLICAS - CONTRIBUCIONES POR OBRAS PÚBLICAS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$18,825,258.24</w:t>
                  </w:r>
                </w:p>
              </w:tc>
            </w:tr>
            <w:tr w:rsidR="000006C5" w:rsidRPr="000006C5" w:rsidTr="00EC61E8">
              <w:trPr>
                <w:trHeight w:val="561"/>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EL USO, GOCE, APROVECHAMIENTO O EXPLOTACIÓN DE BIENES DE DOMINIO PÚBLICO - APROVECHAMIENTO DE BIENES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$4,425,914.97</w:t>
                  </w:r>
                </w:p>
              </w:tc>
            </w:tr>
            <w:tr w:rsidR="000006C5" w:rsidRPr="000006C5" w:rsidTr="00EC61E8">
              <w:trPr>
                <w:trHeight w:val="55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EL USO, GOCE, APROVECHAMIENTO O EXPLOTACIÓN DE BIENES DE DOMINIO PÚBLICO - USO DE SUELO</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$9,964,118.13</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EL USO, GOCE, APROVECHAMIENTO O EXPLOTACIÓN DE BIENES DE DOMINIO PÚBLICO - DEL PISO</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$17,159,413.57</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LICENCIAS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$105,753,991.04</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PERMISO DE CONSTRUCCIÓN, RECOSTRUCCIÓN Y REMODELACIÓN</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$75,636,467.92</w:t>
                  </w:r>
                </w:p>
              </w:tc>
            </w:tr>
            <w:tr w:rsidR="000006C5" w:rsidRPr="000006C5" w:rsidTr="00EC61E8">
              <w:trPr>
                <w:trHeight w:val="780"/>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OTRAS LICENCIAS, AUTORIZACIONES O SERVICIOS DE OBRAS PÚBLICAS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$44,086,401.56</w:t>
                  </w:r>
                </w:p>
              </w:tc>
            </w:tr>
            <w:tr w:rsidR="000006C5" w:rsidRPr="000006C5" w:rsidTr="00EC61E8">
              <w:trPr>
                <w:trHeight w:val="401"/>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ALINEAMIENTOS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$2,156,301.87</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ASEO PÚBLICO</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$1,861,991.02</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AGUA Y ALCANTARILLADO</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$12,871,831.52</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RASTROS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$13,486,371.50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REGISTRO CIVIL</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$2,689,008.00</w:t>
                  </w:r>
                </w:p>
              </w:tc>
            </w:tr>
            <w:tr w:rsidR="000006C5" w:rsidRPr="000006C5" w:rsidTr="00EC61E8">
              <w:trPr>
                <w:trHeight w:val="28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CERTIFICACIONES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$17,956,032.83</w:t>
                  </w:r>
                </w:p>
              </w:tc>
            </w:tr>
            <w:tr w:rsidR="000006C5" w:rsidRPr="000006C5" w:rsidTr="00EC61E8">
              <w:trPr>
                <w:trHeight w:val="264"/>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SERVICIOS DE CATASTRO</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$208,918.00</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DERECHOS POR REVISIÓN DE AVALUOS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$8,083,781.65</w:t>
                  </w:r>
                </w:p>
              </w:tc>
            </w:tr>
            <w:tr w:rsidR="000006C5" w:rsidRPr="000006C5" w:rsidTr="00EC61E8">
              <w:trPr>
                <w:trHeight w:val="287"/>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ESTACIONAMIENTOS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$10,939,937.03</w:t>
                  </w:r>
                </w:p>
              </w:tc>
            </w:tr>
            <w:tr w:rsidR="000006C5" w:rsidRPr="000006C5" w:rsidTr="00EC61E8">
              <w:trPr>
                <w:trHeight w:val="406"/>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DERECHOS POR PRESTACIÓN DE SERVICIOS - SERVICIOS DE SANIDAD</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$2,746,733.00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DERECHOS - ACCESORIOS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$12,084,521.05</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OTROS DERECHOS - DERECHOS DIVERSOS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$3,163,774.68</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PRODUCTOS - FINANCIAMIENTO POR CONVENIOS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$161,092.30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PRODUCTOS - INTERESES Y RENDIMIENTOS BANCARIOS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$45,468,541.12</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PRODUCTOS - PRODUCTOS DIVERSOS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$16,789,766.57</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PRODUCTOS - SERVICIOS PROPORCIONADOS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$15,423,999.90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MULTAS - MULTAS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$38,381,023.72</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INDEMNIZACIONES - INDEMNIZACIONES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$849,526.84</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REINTEGROS - REINTEGROS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Pr>
                      <w:rFonts w:ascii="Times New Roman" w:eastAsia="Times New Roman" w:hAnsi="Times New Roman"/>
                      <w:color w:val="000000"/>
                      <w:sz w:val="20"/>
                      <w:szCs w:val="20"/>
                      <w:lang w:eastAsia="es-MX"/>
                    </w:rPr>
                    <w:t>$0.00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APROVECHAMIENTOS - RECARGOS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$1,430,384.91</w:t>
                  </w:r>
                </w:p>
              </w:tc>
            </w:tr>
            <w:tr w:rsidR="000006C5" w:rsidRPr="000006C5" w:rsidTr="00EC61E8">
              <w:trPr>
                <w:trHeight w:val="318"/>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ACCESORIOS DE APROVECHAMIENTOS - GASTOS DE EJECUCIÓN</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$1,104,553.60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lastRenderedPageBreak/>
                    <w:t>ACCESORIOS DE APROVECHAMIENTOS - ACTUALIZACION</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$316,048.20</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OTROS APROVECHAMIENTOS - DIVERSOS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$7,195,759.83</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PARTICIPACIONES - ESTATALES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$286,266,640.27</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PARTICIPACIONES - FEDERALES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$1,419,775,609.31</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APORTACIONES - FONDO DE APORTACIONES PARA LA INFRAESTRUCTURA SOCIAL</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$73,982,548.71</w:t>
                  </w:r>
                </w:p>
              </w:tc>
            </w:tr>
            <w:tr w:rsidR="000006C5" w:rsidRPr="000006C5" w:rsidTr="00EC61E8">
              <w:trPr>
                <w:trHeight w:val="52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APORTACIONES - FONDO DE APORTACIONES FORTALECIMIENTO MUNICIPAL</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$461,115,025.23</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CONVENIOS - FORTASEG</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$39.49</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CONVENIOS - CONVENIOS (VARIOS)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$13,512,677.32</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OTROS INGRESOS Y BENEFICIOS</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$389,356,694.97</w:t>
                  </w:r>
                </w:p>
              </w:tc>
            </w:tr>
            <w:tr w:rsidR="000006C5" w:rsidRPr="000006C5" w:rsidTr="00EC61E8">
              <w:trPr>
                <w:trHeight w:val="315"/>
              </w:trPr>
              <w:tc>
                <w:tcPr>
                  <w:tcW w:w="404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b/>
                      <w:bCs/>
                      <w:color w:val="000000"/>
                      <w:sz w:val="20"/>
                      <w:szCs w:val="20"/>
                      <w:lang w:eastAsia="es-MX"/>
                    </w:rPr>
                  </w:pPr>
                  <w:r w:rsidRPr="000006C5">
                    <w:rPr>
                      <w:rFonts w:ascii="Times New Roman" w:eastAsia="Times New Roman" w:hAnsi="Times New Roman"/>
                      <w:b/>
                      <w:bCs/>
                      <w:color w:val="000000"/>
                      <w:sz w:val="20"/>
                      <w:szCs w:val="20"/>
                      <w:lang w:eastAsia="es-MX"/>
                    </w:rPr>
                    <w:t xml:space="preserve">TOTAL </w:t>
                  </w:r>
                </w:p>
              </w:tc>
              <w:tc>
                <w:tcPr>
                  <w:tcW w:w="952" w:type="pct"/>
                  <w:tcBorders>
                    <w:top w:val="nil"/>
                    <w:left w:val="nil"/>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jc w:val="right"/>
                    <w:rPr>
                      <w:rFonts w:ascii="Times New Roman" w:eastAsia="Times New Roman" w:hAnsi="Times New Roman"/>
                      <w:b/>
                      <w:bCs/>
                      <w:color w:val="000000"/>
                      <w:sz w:val="20"/>
                      <w:szCs w:val="20"/>
                      <w:u w:val="single"/>
                      <w:lang w:eastAsia="es-MX"/>
                    </w:rPr>
                  </w:pPr>
                  <w:r w:rsidRPr="000006C5">
                    <w:rPr>
                      <w:rFonts w:ascii="Times New Roman" w:eastAsia="Times New Roman" w:hAnsi="Times New Roman"/>
                      <w:b/>
                      <w:bCs/>
                      <w:color w:val="000000"/>
                      <w:sz w:val="20"/>
                      <w:szCs w:val="20"/>
                      <w:u w:val="single"/>
                      <w:lang w:eastAsia="es-MX"/>
                    </w:rPr>
                    <w:t>$5,057,601,106.10</w:t>
                  </w:r>
                </w:p>
              </w:tc>
            </w:tr>
          </w:tbl>
          <w:p w:rsidR="00E85F4B" w:rsidRPr="00C51B6B" w:rsidRDefault="001A13BD" w:rsidP="001A13BD">
            <w:pPr>
              <w:tabs>
                <w:tab w:val="left" w:pos="7005"/>
              </w:tabs>
              <w:autoSpaceDE w:val="0"/>
              <w:autoSpaceDN w:val="0"/>
              <w:adjustRightInd w:val="0"/>
              <w:spacing w:after="0" w:line="240" w:lineRule="auto"/>
              <w:rPr>
                <w:rFonts w:ascii="Times New Roman" w:hAnsi="Times New Roman"/>
                <w:color w:val="000000"/>
                <w:sz w:val="20"/>
                <w:szCs w:val="20"/>
                <w:lang w:eastAsia="es-MX"/>
              </w:rPr>
            </w:pP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r w:rsidRPr="00C51B6B">
              <w:rPr>
                <w:rFonts w:ascii="Times New Roman" w:hAnsi="Times New Roman"/>
                <w:color w:val="000000"/>
                <w:sz w:val="20"/>
                <w:szCs w:val="20"/>
                <w:lang w:eastAsia="es-MX"/>
              </w:rPr>
              <w:tab/>
            </w:r>
          </w:p>
          <w:p w:rsidR="00BB434F" w:rsidRPr="007A2FE0" w:rsidRDefault="000E761D" w:rsidP="00C51B6B">
            <w:pPr>
              <w:autoSpaceDE w:val="0"/>
              <w:autoSpaceDN w:val="0"/>
              <w:adjustRightInd w:val="0"/>
              <w:spacing w:after="0" w:line="240" w:lineRule="auto"/>
              <w:jc w:val="both"/>
              <w:rPr>
                <w:rFonts w:ascii="Times New Roman" w:hAnsi="Times New Roman"/>
                <w:bCs/>
                <w:color w:val="000000"/>
                <w:sz w:val="20"/>
                <w:szCs w:val="20"/>
                <w:lang w:eastAsia="es-MX"/>
              </w:rPr>
            </w:pPr>
            <w:r w:rsidRPr="00C51B6B">
              <w:rPr>
                <w:rFonts w:ascii="Times New Roman" w:hAnsi="Times New Roman"/>
                <w:bCs/>
                <w:color w:val="000000"/>
                <w:sz w:val="20"/>
                <w:szCs w:val="20"/>
                <w:lang w:eastAsia="es-MX"/>
              </w:rPr>
              <w:t>El desglose de los gastos y otras pérdidas realizadas por el municipio se presenta por grupo, rubro, cuenta y subcuenta en el propio estado de actividades.</w:t>
            </w:r>
          </w:p>
          <w:p w:rsidR="00B86C0A" w:rsidRPr="00C51B6B" w:rsidRDefault="00B86C0A" w:rsidP="00C51B6B">
            <w:pPr>
              <w:autoSpaceDE w:val="0"/>
              <w:autoSpaceDN w:val="0"/>
              <w:adjustRightInd w:val="0"/>
              <w:spacing w:after="0" w:line="240" w:lineRule="auto"/>
              <w:jc w:val="both"/>
              <w:rPr>
                <w:rFonts w:ascii="Times New Roman" w:hAnsi="Times New Roman"/>
                <w:b/>
                <w:bCs/>
                <w:color w:val="000000"/>
                <w:sz w:val="20"/>
                <w:szCs w:val="20"/>
                <w:lang w:eastAsia="es-MX"/>
              </w:rPr>
            </w:pPr>
          </w:p>
          <w:p w:rsidR="002A4D02" w:rsidRPr="00C51B6B" w:rsidRDefault="0088762A" w:rsidP="0088762A">
            <w:pPr>
              <w:autoSpaceDE w:val="0"/>
              <w:autoSpaceDN w:val="0"/>
              <w:adjustRightInd w:val="0"/>
              <w:spacing w:after="0" w:line="240" w:lineRule="auto"/>
              <w:ind w:left="792" w:hanging="432"/>
              <w:jc w:val="both"/>
              <w:rPr>
                <w:rFonts w:ascii="Times New Roman" w:hAnsi="Times New Roman"/>
                <w:b/>
                <w:bCs/>
                <w:color w:val="000000"/>
                <w:sz w:val="20"/>
                <w:szCs w:val="20"/>
                <w:lang w:eastAsia="es-MX"/>
              </w:rPr>
            </w:pPr>
            <w:r w:rsidRPr="00C51B6B">
              <w:rPr>
                <w:rFonts w:ascii="Times New Roman" w:hAnsi="Times New Roman"/>
                <w:b/>
                <w:bCs/>
                <w:color w:val="000000"/>
                <w:sz w:val="20"/>
                <w:szCs w:val="20"/>
                <w:lang w:eastAsia="es-MX"/>
              </w:rPr>
              <w:t>2.2.</w:t>
            </w:r>
            <w:r w:rsidRPr="00C51B6B">
              <w:rPr>
                <w:rFonts w:ascii="Times New Roman" w:hAnsi="Times New Roman"/>
                <w:b/>
                <w:bCs/>
                <w:color w:val="000000"/>
                <w:sz w:val="20"/>
                <w:szCs w:val="20"/>
                <w:lang w:eastAsia="es-MX"/>
              </w:rPr>
              <w:tab/>
              <w:t>Gastos y Otras Pérdidas</w:t>
            </w:r>
          </w:p>
          <w:p w:rsidR="004D4D8A" w:rsidRPr="00C51B6B" w:rsidRDefault="004D4D8A" w:rsidP="00E41DA7">
            <w:pPr>
              <w:autoSpaceDE w:val="0"/>
              <w:autoSpaceDN w:val="0"/>
              <w:adjustRightInd w:val="0"/>
              <w:spacing w:after="0" w:line="240" w:lineRule="auto"/>
              <w:ind w:right="-56"/>
              <w:jc w:val="both"/>
              <w:rPr>
                <w:rFonts w:ascii="Times New Roman" w:hAnsi="Times New Roman"/>
                <w:b/>
                <w:bCs/>
                <w:color w:val="000000"/>
                <w:sz w:val="20"/>
                <w:szCs w:val="20"/>
                <w:lang w:eastAsia="es-MX"/>
              </w:rPr>
            </w:pPr>
          </w:p>
          <w:tbl>
            <w:tblPr>
              <w:tblW w:w="5000" w:type="pct"/>
              <w:tblLayout w:type="fixed"/>
              <w:tblCellMar>
                <w:left w:w="70" w:type="dxa"/>
                <w:right w:w="70" w:type="dxa"/>
              </w:tblCellMar>
              <w:tblLook w:val="04A0" w:firstRow="1" w:lastRow="0" w:firstColumn="1" w:lastColumn="0" w:noHBand="0" w:noVBand="1"/>
            </w:tblPr>
            <w:tblGrid>
              <w:gridCol w:w="6361"/>
              <w:gridCol w:w="2381"/>
            </w:tblGrid>
            <w:tr w:rsidR="000006C5" w:rsidRPr="000006C5" w:rsidTr="000006C5">
              <w:trPr>
                <w:trHeight w:val="329"/>
              </w:trPr>
              <w:tc>
                <w:tcPr>
                  <w:tcW w:w="3638"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REMUNERACIONES AL PERSONAL DE CARACTER PERMANENTE</w:t>
                  </w:r>
                </w:p>
              </w:tc>
              <w:tc>
                <w:tcPr>
                  <w:tcW w:w="1362" w:type="pct"/>
                  <w:tcBorders>
                    <w:top w:val="single" w:sz="8" w:space="0" w:color="auto"/>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$727,341,084.57</w:t>
                  </w:r>
                </w:p>
              </w:tc>
            </w:tr>
            <w:tr w:rsidR="000006C5" w:rsidRPr="000006C5" w:rsidTr="000006C5">
              <w:trPr>
                <w:trHeight w:val="40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REMUNERACIONES AL PERSONAL DE CARACTER TRANSITORIO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$129,722,674.94</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REMUNERACIONES ADICIONALES Y ESPECIALES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$27,521,842.47</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SEGURIDAD SOCIAL</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$308,797,736.72</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OTRAS PRESTACIONES SOCIALES Y ECONOMICAS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$270,607,733.15</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PAGO DE ESTIMULOS A SERVIDORES PUBLICOS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$40,129,864.14</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MATERIALES DE ADMINISTRACION, EMISION DE DOCUMENTOS Y ARTICULOS OFICIALES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$3,169,463.54</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ALIMENTOS Y UTENSILIOS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$1,644,137.61</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MATERIALES Y ARTICULOS DE CONSTRUCCION Y DE REPARACION</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$4,109,150.15</w:t>
                  </w:r>
                </w:p>
              </w:tc>
            </w:tr>
            <w:tr w:rsidR="000006C5" w:rsidRPr="000006C5" w:rsidTr="000006C5">
              <w:trPr>
                <w:trHeight w:val="336"/>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PRODUCTOS QUÍMICOS, FARMACÉUTICOS Y DE LABORATORIO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$576,524.27</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COMBUSTIBLES, LUBRICANTES Y ADITIVOS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$96,477,957.81</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VESTUARIO, BLANCOS, PRENDAS DE PROTECCION Y ARTICULOS DEPORTIVO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$163,759.27</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MATERIALES Y SUMINISTROS PARA SEGURIDAD</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$2,745,496.49</w:t>
                  </w:r>
                </w:p>
              </w:tc>
            </w:tr>
            <w:tr w:rsidR="000006C5" w:rsidRPr="000006C5" w:rsidTr="000006C5">
              <w:trPr>
                <w:trHeight w:val="330"/>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HERRAMIENTAS, REFACCIONES Y ACCESORIOS MENORES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$9,335,250.03</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BASICOS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$101,238,796.15</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DE ARRENDAMIENTO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$17,971,946.40</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PROFESIONALES, CIENTIFICOS Y TECNICOS Y OTROS SERVICIOS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$50,532,389.45</w:t>
                  </w:r>
                </w:p>
              </w:tc>
            </w:tr>
            <w:tr w:rsidR="000006C5" w:rsidRPr="000006C5" w:rsidTr="000006C5">
              <w:trPr>
                <w:trHeight w:val="451"/>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FINANCIEROS, BANCARIOS Y COMERCIALES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$19,366,942.65</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DE INSTALACION, REPARACION, MANTENIMIENTO Y CONSERVACION</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$41,449,720.99</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lastRenderedPageBreak/>
                    <w:t>SERVICIOS DE COMUNICACION SOCIAL Y PUBLICIDAD</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$8,129,185.68</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DE TRASLADO Y VIATICOS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$7,564.99</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SERVICIOS OFICIALES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$6,841,266.40</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OTROS SERVICIOS GENERALES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$33,954,151.65</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TRANSFERENCIAS INTERNAS AL SECTOR PUBLICO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$18,650,000.00</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TRANSFERENCIAS A ENTIDADES PARAESTATALES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$370,152,000.00</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AYUDAS SOCIALES A PERSONAS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$80,869,314.49</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AYUDAS SOCIALES A INSTITUCIONES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$624,416.00</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TRANSFERENCIAS A FIDEICOMISOS, MANDATOS Y CONTRATOS ANÁLOGOS AL GOBIERNO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$3,113,046.59</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DONATIVOS A INSTITUCIONES SIN FINES DE LUCRO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$33,412,999.92</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DONATIVOS A FIDEICOMISO, MANDATOS Y CONTRATOS ANÁLOGOS ESTATALE</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$13,095,862.67</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INTERESES DE LA DEUDA PUBLICA INTERNA</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$33,449,272.94</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GASTOS DE LA DEUDA PUBLICA INTERNA</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$136,036.00</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DEPRECIACION DE BIENES INMUEBLES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$2,275,892.45</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DEPRECIACION DE BIENES MUEBLES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$49,633,894.22</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DETERIORO DE LOS ACTIVOS BIOLOGICOS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$3,543,661.63</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AMORTIZACION DE ACTIVOS INTANGIBLES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$4,906,584.26</w:t>
                  </w:r>
                </w:p>
              </w:tc>
            </w:tr>
            <w:tr w:rsidR="000006C5" w:rsidRPr="000006C5" w:rsidTr="000006C5">
              <w:trPr>
                <w:trHeight w:val="52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DISMINUCION DE BIENES POR PÉRDIDA, OBSOLESCENCIA Y DETERIORO</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$28,570,985.26</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GASTOS DE EJERCICIOS ANTERIORES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$626,230.72</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DIFERENCIAS POR TIPO DE CAMBIO NEGATIVAS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$57,961.11</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center"/>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OTROS GASTOS VARIOS</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$492,572,630.94</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bottom"/>
                  <w:hideMark/>
                </w:tcPr>
                <w:p w:rsidR="000006C5" w:rsidRPr="000006C5" w:rsidRDefault="000006C5" w:rsidP="000006C5">
                  <w:pPr>
                    <w:spacing w:after="0" w:line="240" w:lineRule="auto"/>
                    <w:contextualSpacing/>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CONSTRUCCIÓN EN BIENES NO CAPITALIZABLE</w:t>
                  </w:r>
                </w:p>
              </w:tc>
              <w:tc>
                <w:tcPr>
                  <w:tcW w:w="1362" w:type="pct"/>
                  <w:tcBorders>
                    <w:top w:val="nil"/>
                    <w:left w:val="nil"/>
                    <w:bottom w:val="single" w:sz="8" w:space="0" w:color="auto"/>
                    <w:right w:val="single" w:sz="8" w:space="0" w:color="auto"/>
                  </w:tcBorders>
                  <w:shd w:val="clear" w:color="auto" w:fill="auto"/>
                  <w:noWrap/>
                  <w:vAlign w:val="center"/>
                  <w:hideMark/>
                </w:tcPr>
                <w:p w:rsidR="000006C5" w:rsidRPr="000006C5" w:rsidRDefault="000006C5" w:rsidP="000006C5">
                  <w:pPr>
                    <w:spacing w:after="0" w:line="240" w:lineRule="auto"/>
                    <w:contextualSpacing/>
                    <w:jc w:val="right"/>
                    <w:rPr>
                      <w:rFonts w:ascii="Times New Roman" w:eastAsia="Times New Roman" w:hAnsi="Times New Roman"/>
                      <w:color w:val="000000"/>
                      <w:sz w:val="20"/>
                      <w:szCs w:val="20"/>
                      <w:lang w:eastAsia="es-MX"/>
                    </w:rPr>
                  </w:pPr>
                  <w:r w:rsidRPr="000006C5">
                    <w:rPr>
                      <w:rFonts w:ascii="Times New Roman" w:eastAsia="Times New Roman" w:hAnsi="Times New Roman"/>
                      <w:color w:val="000000"/>
                      <w:sz w:val="20"/>
                      <w:szCs w:val="20"/>
                      <w:lang w:eastAsia="es-MX"/>
                    </w:rPr>
                    <w:t>$62,039,222.10</w:t>
                  </w:r>
                </w:p>
              </w:tc>
            </w:tr>
            <w:tr w:rsidR="000006C5" w:rsidRPr="000006C5" w:rsidTr="000006C5">
              <w:trPr>
                <w:trHeight w:val="315"/>
              </w:trPr>
              <w:tc>
                <w:tcPr>
                  <w:tcW w:w="3638" w:type="pct"/>
                  <w:tcBorders>
                    <w:top w:val="nil"/>
                    <w:left w:val="single" w:sz="8" w:space="0" w:color="auto"/>
                    <w:bottom w:val="single" w:sz="8" w:space="0" w:color="auto"/>
                    <w:right w:val="single" w:sz="8" w:space="0" w:color="auto"/>
                  </w:tcBorders>
                  <w:shd w:val="clear" w:color="auto" w:fill="auto"/>
                  <w:vAlign w:val="bottom"/>
                  <w:hideMark/>
                </w:tcPr>
                <w:p w:rsidR="000006C5" w:rsidRPr="000006C5" w:rsidRDefault="000006C5" w:rsidP="000006C5">
                  <w:pPr>
                    <w:spacing w:after="0" w:line="240" w:lineRule="auto"/>
                    <w:contextualSpacing/>
                    <w:rPr>
                      <w:rFonts w:ascii="Times New Roman" w:eastAsia="Times New Roman" w:hAnsi="Times New Roman"/>
                      <w:b/>
                      <w:bCs/>
                      <w:color w:val="000000"/>
                      <w:sz w:val="20"/>
                      <w:szCs w:val="20"/>
                      <w:lang w:eastAsia="es-MX"/>
                    </w:rPr>
                  </w:pPr>
                  <w:r w:rsidRPr="000006C5">
                    <w:rPr>
                      <w:rFonts w:ascii="Times New Roman" w:eastAsia="Times New Roman" w:hAnsi="Times New Roman"/>
                      <w:b/>
                      <w:bCs/>
                      <w:color w:val="000000"/>
                      <w:sz w:val="20"/>
                      <w:szCs w:val="20"/>
                      <w:lang w:eastAsia="es-MX"/>
                    </w:rPr>
                    <w:t>TOTAL</w:t>
                  </w:r>
                </w:p>
              </w:tc>
              <w:tc>
                <w:tcPr>
                  <w:tcW w:w="1362" w:type="pct"/>
                  <w:tcBorders>
                    <w:top w:val="nil"/>
                    <w:left w:val="nil"/>
                    <w:bottom w:val="single" w:sz="8" w:space="0" w:color="auto"/>
                    <w:right w:val="single" w:sz="8" w:space="0" w:color="auto"/>
                  </w:tcBorders>
                  <w:shd w:val="clear" w:color="auto" w:fill="auto"/>
                  <w:noWrap/>
                  <w:vAlign w:val="bottom"/>
                  <w:hideMark/>
                </w:tcPr>
                <w:p w:rsidR="000006C5" w:rsidRPr="000006C5" w:rsidRDefault="000006C5" w:rsidP="000006C5">
                  <w:pPr>
                    <w:spacing w:after="0" w:line="240" w:lineRule="auto"/>
                    <w:contextualSpacing/>
                    <w:jc w:val="right"/>
                    <w:rPr>
                      <w:rFonts w:ascii="Times New Roman" w:eastAsia="Times New Roman" w:hAnsi="Times New Roman"/>
                      <w:b/>
                      <w:bCs/>
                      <w:color w:val="000000"/>
                      <w:sz w:val="20"/>
                      <w:szCs w:val="20"/>
                      <w:u w:val="single"/>
                      <w:lang w:eastAsia="es-MX"/>
                    </w:rPr>
                  </w:pPr>
                  <w:r w:rsidRPr="000006C5">
                    <w:rPr>
                      <w:rFonts w:ascii="Times New Roman" w:eastAsia="Times New Roman" w:hAnsi="Times New Roman"/>
                      <w:b/>
                      <w:bCs/>
                      <w:color w:val="000000"/>
                      <w:sz w:val="20"/>
                      <w:szCs w:val="20"/>
                      <w:u w:val="single"/>
                      <w:lang w:eastAsia="es-MX"/>
                    </w:rPr>
                    <w:t>$3,100,487,150.82</w:t>
                  </w:r>
                </w:p>
              </w:tc>
            </w:tr>
          </w:tbl>
          <w:p w:rsidR="00A85425" w:rsidRDefault="00A85425" w:rsidP="009E2155">
            <w:pPr>
              <w:autoSpaceDE w:val="0"/>
              <w:autoSpaceDN w:val="0"/>
              <w:adjustRightInd w:val="0"/>
              <w:spacing w:after="0" w:line="240" w:lineRule="auto"/>
              <w:jc w:val="both"/>
              <w:rPr>
                <w:rFonts w:ascii="Times New Roman" w:hAnsi="Times New Roman"/>
                <w:color w:val="000000"/>
                <w:sz w:val="20"/>
                <w:szCs w:val="20"/>
                <w:lang w:eastAsia="es-MX"/>
              </w:rPr>
            </w:pPr>
          </w:p>
          <w:p w:rsidR="002A00BB" w:rsidRPr="00C51B6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El efecto contable de la cuenta 4399 y 5599, se debe en gran medida por el registro contable de la recepción de las denominadas “áreas de cesión para destino”, que conforme al Manual de Contabilidad Gubernamental del Municipio de Zapopan, se cargan a la cuenta contable “5599 – Otros Gastos varios y se abonan a la cuenta 4399 – Otros Ingresos y Beneficios Varios”, por considerarse bienes de dominio público, no capitalizables (es decir no registrados en cuentas del Activo No Circulante), inalienables, imprescriptibles e inembargables, pero si sujetos a inventario.</w:t>
            </w:r>
          </w:p>
          <w:p w:rsidR="007A2FE0"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Adicionalmente se informa que las siguientes cuentas contables de orden que se incorporaron al Plan de Cuentas del Municipio de Zapopan, son con el objetivo de llevar un control interno respecto del flujo de efectivo generado tanto contable como presupuestal a nivel de cuenta contable.</w:t>
            </w:r>
          </w:p>
          <w:p w:rsidR="00027FF7" w:rsidRDefault="00027FF7" w:rsidP="009E2155">
            <w:pPr>
              <w:shd w:val="clear" w:color="auto" w:fill="FFFFFF"/>
              <w:spacing w:line="253" w:lineRule="atLeast"/>
              <w:jc w:val="both"/>
              <w:rPr>
                <w:rFonts w:ascii="Times New Roman" w:hAnsi="Times New Roman"/>
                <w:color w:val="000000"/>
                <w:sz w:val="20"/>
                <w:szCs w:val="20"/>
                <w:lang w:eastAsia="es-MX"/>
              </w:rPr>
            </w:pPr>
          </w:p>
          <w:p w:rsidR="00027FF7" w:rsidRDefault="00027FF7" w:rsidP="009E2155">
            <w:pPr>
              <w:shd w:val="clear" w:color="auto" w:fill="FFFFFF"/>
              <w:spacing w:line="253" w:lineRule="atLeast"/>
              <w:jc w:val="both"/>
              <w:rPr>
                <w:rFonts w:ascii="Times New Roman" w:hAnsi="Times New Roman"/>
                <w:color w:val="000000"/>
                <w:sz w:val="20"/>
                <w:szCs w:val="20"/>
                <w:lang w:eastAsia="es-MX"/>
              </w:rPr>
            </w:pPr>
          </w:p>
          <w:p w:rsidR="00027FF7" w:rsidRPr="00C51B6B" w:rsidRDefault="00027FF7" w:rsidP="009E2155">
            <w:pPr>
              <w:shd w:val="clear" w:color="auto" w:fill="FFFFFF"/>
              <w:spacing w:line="253" w:lineRule="atLeast"/>
              <w:jc w:val="both"/>
              <w:rPr>
                <w:rFonts w:ascii="Times New Roman" w:hAnsi="Times New Roman"/>
                <w:color w:val="000000"/>
                <w:sz w:val="20"/>
                <w:szCs w:val="20"/>
                <w:lang w:eastAsia="es-MX"/>
              </w:rPr>
            </w:pPr>
          </w:p>
          <w:p w:rsidR="002A00BB" w:rsidRDefault="000E761D" w:rsidP="009E2155">
            <w:pPr>
              <w:shd w:val="clear" w:color="auto" w:fill="FFFFFF"/>
              <w:spacing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lastRenderedPageBreak/>
              <w:t>Cada una de ellas representa la afectación del egreso como ingreso a nivel Fuente de Financiamiento en sus momentos contables del devengado y pagado y/o recaudado respectivamente, esto conforme los lineamientos de la Ley de Disciplina Financiera, por tanto, no afecta la presentación de la información financiera y presupuestal que emana de la normatividad del Consejo de Armonización Contable.</w:t>
            </w:r>
          </w:p>
          <w:p w:rsidR="00B86C0A" w:rsidRPr="00C51B6B" w:rsidRDefault="00B86C0A" w:rsidP="009E2155">
            <w:pPr>
              <w:shd w:val="clear" w:color="auto" w:fill="FFFFFF"/>
              <w:spacing w:line="253" w:lineRule="atLeast"/>
              <w:jc w:val="both"/>
              <w:rPr>
                <w:rFonts w:ascii="Times New Roman" w:hAnsi="Times New Roman"/>
                <w:color w:val="000000"/>
                <w:sz w:val="20"/>
                <w:szCs w:val="20"/>
                <w:lang w:eastAsia="es-MX"/>
              </w:rPr>
            </w:pPr>
          </w:p>
          <w:tbl>
            <w:tblPr>
              <w:tblW w:w="60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4A0" w:firstRow="1" w:lastRow="0" w:firstColumn="1" w:lastColumn="0" w:noHBand="0" w:noVBand="1"/>
            </w:tblPr>
            <w:tblGrid>
              <w:gridCol w:w="1216"/>
              <w:gridCol w:w="4832"/>
            </w:tblGrid>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771</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CONTRACUENTA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772</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DEVENGADA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773</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EGRESO PAGADA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774</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DEVENGADA</w:t>
                  </w:r>
                </w:p>
              </w:tc>
            </w:tr>
            <w:tr w:rsidR="000E761D" w:rsidRPr="00C51B6B" w:rsidTr="000006C5">
              <w:trPr>
                <w:trHeight w:val="255"/>
                <w:jc w:val="center"/>
              </w:trPr>
              <w:tc>
                <w:tcPr>
                  <w:tcW w:w="1216"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jc w:val="center"/>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775</w:t>
                  </w:r>
                </w:p>
              </w:tc>
              <w:tc>
                <w:tcPr>
                  <w:tcW w:w="4832" w:type="dxa"/>
                  <w:shd w:val="clear" w:color="auto" w:fill="FFFFFF"/>
                  <w:noWrap/>
                  <w:tcMar>
                    <w:top w:w="0" w:type="dxa"/>
                    <w:left w:w="70" w:type="dxa"/>
                    <w:bottom w:w="0" w:type="dxa"/>
                    <w:right w:w="70" w:type="dxa"/>
                  </w:tcMar>
                  <w:vAlign w:val="center"/>
                  <w:hideMark/>
                </w:tcPr>
                <w:p w:rsidR="000E761D" w:rsidRPr="00C51B6B" w:rsidRDefault="000E761D" w:rsidP="009E2155">
                  <w:pPr>
                    <w:spacing w:after="0" w:line="240" w:lineRule="auto"/>
                    <w:rPr>
                      <w:rFonts w:ascii="Times New Roman" w:eastAsia="Times New Roman" w:hAnsi="Times New Roman"/>
                      <w:color w:val="222222"/>
                      <w:sz w:val="20"/>
                      <w:szCs w:val="20"/>
                      <w:lang w:eastAsia="es-MX"/>
                    </w:rPr>
                  </w:pPr>
                  <w:r w:rsidRPr="00C51B6B">
                    <w:rPr>
                      <w:rFonts w:ascii="Times New Roman" w:eastAsia="Times New Roman" w:hAnsi="Times New Roman"/>
                      <w:color w:val="000000"/>
                      <w:sz w:val="20"/>
                      <w:szCs w:val="20"/>
                      <w:lang w:eastAsia="es-MX"/>
                    </w:rPr>
                    <w:t>FUENTE DE FINANCIAMIENTO INGRESO RECAUDADO</w:t>
                  </w:r>
                </w:p>
              </w:tc>
            </w:tr>
          </w:tbl>
          <w:p w:rsidR="00BB434F" w:rsidRDefault="00BB434F" w:rsidP="0029411E">
            <w:pPr>
              <w:shd w:val="clear" w:color="auto" w:fill="FFFFFF"/>
              <w:spacing w:after="0" w:line="253" w:lineRule="atLeast"/>
              <w:jc w:val="both"/>
              <w:rPr>
                <w:rFonts w:ascii="Times New Roman" w:hAnsi="Times New Roman"/>
                <w:color w:val="000000"/>
                <w:sz w:val="20"/>
                <w:szCs w:val="20"/>
                <w:lang w:eastAsia="es-MX"/>
              </w:rPr>
            </w:pPr>
          </w:p>
          <w:p w:rsidR="00BB434F" w:rsidRDefault="000E761D" w:rsidP="0029411E">
            <w:pPr>
              <w:shd w:val="clear" w:color="auto" w:fill="FFFFFF"/>
              <w:spacing w:after="0" w:line="253" w:lineRule="atLeast"/>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 xml:space="preserve">Finalmente, se hace de su conocimiento, que conforme a las atribuciones de los Artículos 14 y 16 del Reglamento  Interior de la Tesorería Municipal del Ayuntamiento constitucional de Zapopan, Jalisco y en apego al artículo 14 de la Ley de Disciplina Financiera </w:t>
            </w:r>
            <w:r w:rsidR="007A00AA">
              <w:rPr>
                <w:rFonts w:ascii="Times New Roman" w:hAnsi="Times New Roman"/>
                <w:color w:val="000000"/>
                <w:sz w:val="20"/>
                <w:szCs w:val="20"/>
                <w:lang w:eastAsia="es-MX"/>
              </w:rPr>
              <w:t>se registró</w:t>
            </w:r>
            <w:r w:rsidRPr="00C51B6B">
              <w:rPr>
                <w:rFonts w:ascii="Times New Roman" w:hAnsi="Times New Roman"/>
                <w:color w:val="000000"/>
                <w:sz w:val="20"/>
                <w:szCs w:val="20"/>
                <w:lang w:eastAsia="es-MX"/>
              </w:rPr>
              <w:t xml:space="preserve"> </w:t>
            </w:r>
            <w:r w:rsidR="007A00AA">
              <w:rPr>
                <w:rFonts w:ascii="Times New Roman" w:hAnsi="Times New Roman"/>
                <w:color w:val="000000"/>
                <w:sz w:val="20"/>
                <w:szCs w:val="20"/>
                <w:lang w:eastAsia="es-MX"/>
              </w:rPr>
              <w:t xml:space="preserve"> e</w:t>
            </w:r>
            <w:r w:rsidRPr="00C51B6B">
              <w:rPr>
                <w:rFonts w:ascii="Times New Roman" w:hAnsi="Times New Roman"/>
                <w:color w:val="000000"/>
                <w:sz w:val="20"/>
                <w:szCs w:val="20"/>
                <w:lang w:eastAsia="es-MX"/>
              </w:rPr>
              <w:t>l remanente del ejercicio fiscal 202</w:t>
            </w:r>
            <w:r w:rsidR="004D4D8A" w:rsidRPr="00C51B6B">
              <w:rPr>
                <w:rFonts w:ascii="Times New Roman" w:hAnsi="Times New Roman"/>
                <w:color w:val="000000"/>
                <w:sz w:val="20"/>
                <w:szCs w:val="20"/>
                <w:lang w:eastAsia="es-MX"/>
              </w:rPr>
              <w:t>1</w:t>
            </w:r>
            <w:r w:rsidRPr="00C51B6B">
              <w:rPr>
                <w:rFonts w:ascii="Times New Roman" w:hAnsi="Times New Roman"/>
                <w:color w:val="000000"/>
                <w:sz w:val="20"/>
                <w:szCs w:val="20"/>
                <w:lang w:eastAsia="es-MX"/>
              </w:rPr>
              <w:t>,  por un importe correspondiente a $</w:t>
            </w:r>
            <w:r w:rsidR="004D4D8A" w:rsidRPr="00C51B6B">
              <w:rPr>
                <w:rFonts w:ascii="Times New Roman" w:hAnsi="Times New Roman"/>
                <w:color w:val="000000"/>
                <w:sz w:val="20"/>
                <w:szCs w:val="20"/>
                <w:lang w:eastAsia="es-MX"/>
              </w:rPr>
              <w:t>300, millones, conforme al dictamen de aprobac</w:t>
            </w:r>
            <w:r w:rsidR="007A5A88" w:rsidRPr="00C51B6B">
              <w:rPr>
                <w:rFonts w:ascii="Times New Roman" w:hAnsi="Times New Roman"/>
                <w:color w:val="000000"/>
                <w:sz w:val="20"/>
                <w:szCs w:val="20"/>
                <w:lang w:eastAsia="es-MX"/>
              </w:rPr>
              <w:t>ión del pleno del H. A</w:t>
            </w:r>
            <w:r w:rsidR="004D4D8A" w:rsidRPr="00C51B6B">
              <w:rPr>
                <w:rFonts w:ascii="Times New Roman" w:hAnsi="Times New Roman"/>
                <w:color w:val="000000"/>
                <w:sz w:val="20"/>
                <w:szCs w:val="20"/>
                <w:lang w:eastAsia="es-MX"/>
              </w:rPr>
              <w:t>yuntamiento con expediente 239/221 de fecha 15 de Diciembre 202</w:t>
            </w:r>
            <w:r w:rsidR="007A5A88" w:rsidRPr="00C51B6B">
              <w:rPr>
                <w:rFonts w:ascii="Times New Roman" w:hAnsi="Times New Roman"/>
                <w:color w:val="000000"/>
                <w:sz w:val="20"/>
                <w:szCs w:val="20"/>
                <w:lang w:eastAsia="es-MX"/>
              </w:rPr>
              <w:t>1</w:t>
            </w:r>
            <w:r w:rsidR="007A00AA">
              <w:rPr>
                <w:rFonts w:ascii="Times New Roman" w:hAnsi="Times New Roman"/>
                <w:color w:val="000000"/>
                <w:sz w:val="20"/>
                <w:szCs w:val="20"/>
                <w:lang w:eastAsia="es-MX"/>
              </w:rPr>
              <w:t>; c</w:t>
            </w:r>
            <w:r w:rsidR="00BB434F" w:rsidRPr="00BB434F">
              <w:rPr>
                <w:rFonts w:ascii="Times New Roman" w:hAnsi="Times New Roman"/>
                <w:color w:val="000000"/>
                <w:sz w:val="20"/>
                <w:szCs w:val="20"/>
                <w:lang w:eastAsia="es-MX"/>
              </w:rPr>
              <w:t>onforme a la guía co</w:t>
            </w:r>
            <w:r w:rsidR="007A00AA">
              <w:rPr>
                <w:rFonts w:ascii="Times New Roman" w:hAnsi="Times New Roman"/>
                <w:color w:val="000000"/>
                <w:sz w:val="20"/>
                <w:szCs w:val="20"/>
                <w:lang w:eastAsia="es-MX"/>
              </w:rPr>
              <w:t>ntabilizadora II.1.09  remanentes de ejercicios anteriores</w:t>
            </w:r>
            <w:r w:rsidR="00BB434F">
              <w:rPr>
                <w:rFonts w:ascii="Times New Roman" w:hAnsi="Times New Roman"/>
                <w:color w:val="000000"/>
                <w:sz w:val="20"/>
                <w:szCs w:val="20"/>
                <w:lang w:eastAsia="es-MX"/>
              </w:rPr>
              <w:t>.</w:t>
            </w:r>
          </w:p>
          <w:p w:rsidR="000006C5" w:rsidRDefault="000006C5" w:rsidP="0029411E">
            <w:pPr>
              <w:shd w:val="clear" w:color="auto" w:fill="FFFFFF"/>
              <w:spacing w:after="0" w:line="253" w:lineRule="atLeast"/>
              <w:jc w:val="both"/>
              <w:rPr>
                <w:rFonts w:ascii="Times New Roman" w:hAnsi="Times New Roman"/>
                <w:color w:val="000000"/>
                <w:sz w:val="20"/>
                <w:szCs w:val="20"/>
                <w:lang w:eastAsia="es-MX"/>
              </w:rPr>
            </w:pPr>
          </w:p>
          <w:p w:rsidR="002A4D02" w:rsidRPr="00C51B6B" w:rsidRDefault="00BB434F" w:rsidP="00BB434F">
            <w:pPr>
              <w:shd w:val="clear" w:color="auto" w:fill="FFFFFF"/>
              <w:spacing w:line="253" w:lineRule="atLeast"/>
              <w:jc w:val="both"/>
              <w:rPr>
                <w:rFonts w:ascii="Times New Roman" w:hAnsi="Times New Roman"/>
                <w:color w:val="000000"/>
                <w:sz w:val="20"/>
                <w:szCs w:val="20"/>
                <w:lang w:eastAsia="es-MX"/>
              </w:rPr>
            </w:pPr>
            <w:r w:rsidRPr="00BB434F">
              <w:rPr>
                <w:rFonts w:ascii="Times New Roman" w:hAnsi="Times New Roman"/>
                <w:color w:val="000000"/>
                <w:sz w:val="20"/>
                <w:szCs w:val="20"/>
                <w:lang w:eastAsia="es-MX"/>
              </w:rPr>
              <w:t>Para la determinación del remanente de ingresos de libre disposición se utiliza el procedi</w:t>
            </w:r>
            <w:r>
              <w:rPr>
                <w:rFonts w:ascii="Times New Roman" w:hAnsi="Times New Roman"/>
                <w:color w:val="000000"/>
                <w:sz w:val="20"/>
                <w:szCs w:val="20"/>
                <w:lang w:eastAsia="es-MX"/>
              </w:rPr>
              <w:t xml:space="preserve">miento del Superávit Financiero </w:t>
            </w:r>
            <w:r w:rsidRPr="00BB434F">
              <w:rPr>
                <w:rFonts w:ascii="Times New Roman" w:hAnsi="Times New Roman"/>
                <w:color w:val="000000"/>
                <w:sz w:val="20"/>
                <w:szCs w:val="20"/>
                <w:lang w:eastAsia="es-MX"/>
              </w:rPr>
              <w:t xml:space="preserve">definido asimismo en la Ley General de Contabilidad Gubernamental y en los criterios de la Ley </w:t>
            </w:r>
            <w:r>
              <w:rPr>
                <w:rFonts w:ascii="Times New Roman" w:hAnsi="Times New Roman"/>
                <w:color w:val="000000"/>
                <w:sz w:val="20"/>
                <w:szCs w:val="20"/>
                <w:lang w:eastAsia="es-MX"/>
              </w:rPr>
              <w:t xml:space="preserve">de Disciplina Financiera de las </w:t>
            </w:r>
            <w:r w:rsidRPr="00BB434F">
              <w:rPr>
                <w:rFonts w:ascii="Times New Roman" w:hAnsi="Times New Roman"/>
                <w:color w:val="000000"/>
                <w:sz w:val="20"/>
                <w:szCs w:val="20"/>
                <w:lang w:eastAsia="es-MX"/>
              </w:rPr>
              <w:t>Entidade</w:t>
            </w:r>
            <w:r>
              <w:rPr>
                <w:rFonts w:ascii="Times New Roman" w:hAnsi="Times New Roman"/>
                <w:color w:val="000000"/>
                <w:sz w:val="20"/>
                <w:szCs w:val="20"/>
                <w:lang w:eastAsia="es-MX"/>
              </w:rPr>
              <w:t xml:space="preserve">s Financieras y sus Municipios. </w:t>
            </w:r>
            <w:r w:rsidRPr="00BB434F">
              <w:rPr>
                <w:rFonts w:ascii="Times New Roman" w:hAnsi="Times New Roman"/>
                <w:color w:val="000000"/>
                <w:sz w:val="20"/>
                <w:szCs w:val="20"/>
                <w:lang w:eastAsia="es-MX"/>
              </w:rPr>
              <w:t>Se debe tomar en consideración que si los ingresos excedentes se ven afectados por los remanentes</w:t>
            </w:r>
            <w:r>
              <w:rPr>
                <w:rFonts w:ascii="Times New Roman" w:hAnsi="Times New Roman"/>
                <w:color w:val="000000"/>
                <w:sz w:val="20"/>
                <w:szCs w:val="20"/>
                <w:lang w:eastAsia="es-MX"/>
              </w:rPr>
              <w:t xml:space="preserve"> o disponibilidades de </w:t>
            </w:r>
            <w:r w:rsidRPr="00BB434F">
              <w:rPr>
                <w:rFonts w:ascii="Times New Roman" w:hAnsi="Times New Roman"/>
                <w:color w:val="000000"/>
                <w:sz w:val="20"/>
                <w:szCs w:val="20"/>
                <w:lang w:eastAsia="es-MX"/>
              </w:rPr>
              <w:t>ejercicios anteriores, estos deberán ser disminuidos del resultado del Superávit Financiero.</w:t>
            </w:r>
          </w:p>
          <w:p w:rsidR="000E761D" w:rsidRPr="00C51B6B" w:rsidRDefault="000E761D" w:rsidP="009E2155">
            <w:pPr>
              <w:autoSpaceDE w:val="0"/>
              <w:autoSpaceDN w:val="0"/>
              <w:adjustRightInd w:val="0"/>
              <w:spacing w:after="0" w:line="240" w:lineRule="auto"/>
              <w:jc w:val="both"/>
              <w:rPr>
                <w:rFonts w:ascii="Times New Roman" w:hAnsi="Times New Roman"/>
                <w:color w:val="000000"/>
                <w:sz w:val="20"/>
                <w:szCs w:val="20"/>
                <w:lang w:eastAsia="es-MX"/>
              </w:rPr>
            </w:pPr>
            <w:r w:rsidRPr="00C51B6B">
              <w:rPr>
                <w:rFonts w:ascii="Times New Roman" w:hAnsi="Times New Roman"/>
                <w:color w:val="000000"/>
                <w:sz w:val="20"/>
                <w:szCs w:val="20"/>
                <w:lang w:eastAsia="es-MX"/>
              </w:rPr>
              <w:t>Las Notas descritas son parte integral de los Estados Financieros del M</w:t>
            </w:r>
            <w:r w:rsidR="005D0F11" w:rsidRPr="00C51B6B">
              <w:rPr>
                <w:rFonts w:ascii="Times New Roman" w:hAnsi="Times New Roman"/>
                <w:color w:val="000000"/>
                <w:sz w:val="20"/>
                <w:szCs w:val="20"/>
                <w:lang w:eastAsia="es-MX"/>
              </w:rPr>
              <w:t xml:space="preserve">unicipio de </w:t>
            </w:r>
            <w:r w:rsidR="00E60558" w:rsidRPr="00C51B6B">
              <w:rPr>
                <w:rFonts w:ascii="Times New Roman" w:hAnsi="Times New Roman"/>
                <w:color w:val="000000"/>
                <w:sz w:val="20"/>
                <w:szCs w:val="20"/>
                <w:lang w:eastAsia="es-MX"/>
              </w:rPr>
              <w:t xml:space="preserve">Zapopan, Jal., al </w:t>
            </w:r>
            <w:r w:rsidR="000006C5">
              <w:rPr>
                <w:rFonts w:ascii="Times New Roman" w:hAnsi="Times New Roman"/>
                <w:color w:val="000000"/>
                <w:sz w:val="20"/>
                <w:szCs w:val="20"/>
                <w:lang w:eastAsia="es-MX"/>
              </w:rPr>
              <w:t>31</w:t>
            </w:r>
            <w:r w:rsidR="00531837" w:rsidRPr="00C51B6B">
              <w:rPr>
                <w:rFonts w:ascii="Times New Roman" w:hAnsi="Times New Roman"/>
                <w:color w:val="000000"/>
                <w:sz w:val="20"/>
                <w:szCs w:val="20"/>
                <w:lang w:eastAsia="es-MX"/>
              </w:rPr>
              <w:t xml:space="preserve"> de </w:t>
            </w:r>
            <w:r w:rsidR="000006C5">
              <w:rPr>
                <w:rFonts w:ascii="Times New Roman" w:hAnsi="Times New Roman"/>
                <w:color w:val="000000"/>
                <w:sz w:val="20"/>
                <w:szCs w:val="20"/>
                <w:lang w:eastAsia="es-MX"/>
              </w:rPr>
              <w:t>Mayo</w:t>
            </w:r>
            <w:r w:rsidR="004D4D8A" w:rsidRPr="00C51B6B">
              <w:rPr>
                <w:rFonts w:ascii="Times New Roman" w:hAnsi="Times New Roman"/>
                <w:color w:val="000000"/>
                <w:sz w:val="20"/>
                <w:szCs w:val="20"/>
                <w:lang w:eastAsia="es-MX"/>
              </w:rPr>
              <w:t xml:space="preserve"> 2022</w:t>
            </w:r>
            <w:r w:rsidRPr="00C51B6B">
              <w:rPr>
                <w:rFonts w:ascii="Times New Roman" w:hAnsi="Times New Roman"/>
                <w:color w:val="000000"/>
                <w:sz w:val="20"/>
                <w:szCs w:val="20"/>
                <w:lang w:eastAsia="es-MX"/>
              </w:rPr>
              <w:t>.</w:t>
            </w:r>
          </w:p>
          <w:p w:rsidR="00E55666" w:rsidRPr="00C51B6B" w:rsidRDefault="00E55666" w:rsidP="009E2155">
            <w:pPr>
              <w:autoSpaceDE w:val="0"/>
              <w:autoSpaceDN w:val="0"/>
              <w:adjustRightInd w:val="0"/>
              <w:spacing w:after="0" w:line="240" w:lineRule="auto"/>
              <w:jc w:val="both"/>
              <w:rPr>
                <w:rFonts w:ascii="Times New Roman" w:hAnsi="Times New Roman"/>
                <w:sz w:val="20"/>
                <w:szCs w:val="20"/>
                <w:lang w:eastAsia="es-MX"/>
              </w:rPr>
            </w:pPr>
          </w:p>
        </w:tc>
      </w:tr>
      <w:bookmarkEnd w:id="2"/>
      <w:tr w:rsidR="00545E1E" w:rsidRPr="00C51B6B" w:rsidTr="000006C5">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DF2682" w:rsidRDefault="00DF2682" w:rsidP="00AD17E5">
            <w:pPr>
              <w:tabs>
                <w:tab w:val="center" w:pos="1789"/>
              </w:tabs>
              <w:rPr>
                <w:rFonts w:ascii="Times New Roman" w:hAnsi="Times New Roman"/>
                <w:b/>
                <w:sz w:val="20"/>
                <w:szCs w:val="20"/>
              </w:rPr>
            </w:pPr>
          </w:p>
          <w:p w:rsidR="00545E1E" w:rsidRDefault="00545E1E" w:rsidP="00AD17E5">
            <w:pPr>
              <w:tabs>
                <w:tab w:val="center" w:pos="1789"/>
              </w:tabs>
              <w:rPr>
                <w:rFonts w:ascii="Times New Roman" w:hAnsi="Times New Roman"/>
                <w:b/>
                <w:sz w:val="20"/>
                <w:szCs w:val="20"/>
              </w:rPr>
            </w:pPr>
            <w:r w:rsidRPr="00C51B6B">
              <w:rPr>
                <w:rFonts w:ascii="Times New Roman" w:hAnsi="Times New Roman"/>
                <w:b/>
                <w:sz w:val="20"/>
                <w:szCs w:val="20"/>
              </w:rPr>
              <w:tab/>
            </w:r>
          </w:p>
          <w:p w:rsidR="00BB434F" w:rsidRPr="00C51B6B" w:rsidRDefault="00027FF7" w:rsidP="00AD17E5">
            <w:pPr>
              <w:tabs>
                <w:tab w:val="center" w:pos="1789"/>
              </w:tabs>
              <w:rPr>
                <w:rFonts w:ascii="Times New Roman" w:hAnsi="Times New Roman"/>
                <w:b/>
                <w:sz w:val="20"/>
                <w:szCs w:val="20"/>
              </w:rPr>
            </w:pPr>
            <w:r>
              <w:rPr>
                <w:rFonts w:ascii="Times New Roman" w:hAnsi="Times New Roman"/>
                <w:b/>
                <w:noProof/>
                <w:sz w:val="20"/>
                <w:szCs w:val="20"/>
                <w:lang w:eastAsia="es-MX"/>
              </w:rPr>
              <w:pict>
                <v:shapetype id="_x0000_t32" coordsize="21600,21600" o:spt="32" o:oned="t" path="m,l21600,21600e" filled="f">
                  <v:path arrowok="t" fillok="f" o:connecttype="none"/>
                  <o:lock v:ext="edit" shapetype="t"/>
                </v:shapetype>
                <v:shape id="AutoShape 2" o:spid="_x0000_s1026" type="#_x0000_t32" style="position:absolute;margin-left:-6.3pt;margin-top:20.45pt;width:180.75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"/>
              </w:pict>
            </w:r>
          </w:p>
        </w:tc>
        <w:tc>
          <w:tcPr>
            <w:tcW w:w="1242" w:type="dxa"/>
            <w:shd w:val="clear" w:color="auto" w:fill="auto"/>
          </w:tcPr>
          <w:p w:rsidR="00545E1E" w:rsidRPr="00C51B6B" w:rsidRDefault="00545E1E" w:rsidP="00AD17E5">
            <w:pPr>
              <w:rPr>
                <w:rFonts w:ascii="Times New Roman" w:hAnsi="Times New Roman"/>
                <w:b/>
                <w:sz w:val="20"/>
                <w:szCs w:val="20"/>
              </w:rPr>
            </w:pPr>
          </w:p>
        </w:tc>
        <w:tc>
          <w:tcPr>
            <w:tcW w:w="3849" w:type="dxa"/>
            <w:shd w:val="clear" w:color="auto" w:fill="auto"/>
          </w:tcPr>
          <w:p w:rsidR="00545E1E" w:rsidRPr="00C51B6B" w:rsidRDefault="00027FF7" w:rsidP="00AD17E5">
            <w:pPr>
              <w:tabs>
                <w:tab w:val="center" w:pos="1846"/>
              </w:tabs>
              <w:rPr>
                <w:rFonts w:ascii="Times New Roman" w:hAnsi="Times New Roman"/>
                <w:b/>
                <w:sz w:val="20"/>
                <w:szCs w:val="20"/>
              </w:rPr>
            </w:pPr>
            <w:r>
              <w:rPr>
                <w:rFonts w:ascii="Times New Roman" w:hAnsi="Times New Roman"/>
                <w:b/>
                <w:noProof/>
                <w:sz w:val="20"/>
                <w:szCs w:val="20"/>
                <w:lang w:eastAsia="es-MX"/>
              </w:rPr>
              <w:pict>
                <v:shape id="AutoShape 3" o:spid="_x0000_s1027" type="#_x0000_t32" style="position:absolute;margin-left:1.2pt;margin-top:66.95pt;width:180.75pt;height:0;z-index:25166028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"/>
              </w:pict>
            </w:r>
            <w:r w:rsidR="00545E1E" w:rsidRPr="00C51B6B">
              <w:rPr>
                <w:rFonts w:ascii="Times New Roman" w:hAnsi="Times New Roman"/>
                <w:b/>
                <w:sz w:val="20"/>
                <w:szCs w:val="20"/>
              </w:rPr>
              <w:tab/>
            </w:r>
          </w:p>
        </w:tc>
      </w:tr>
      <w:tr w:rsidR="00545E1E" w:rsidRPr="00C51B6B" w:rsidTr="000006C5">
        <w:tblPrEx>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Ex>
        <w:trPr>
          <w:gridAfter w:val="1"/>
          <w:wAfter w:w="150" w:type="dxa"/>
          <w:jc w:val="center"/>
        </w:trPr>
        <w:tc>
          <w:tcPr>
            <w:tcW w:w="3737" w:type="dxa"/>
            <w:shd w:val="clear" w:color="auto" w:fill="auto"/>
          </w:tcPr>
          <w:p w:rsidR="00545E1E" w:rsidRPr="00C51B6B" w:rsidRDefault="00545E1E" w:rsidP="00DF2682">
            <w:pPr>
              <w:spacing w:after="0"/>
              <w:jc w:val="center"/>
              <w:rPr>
                <w:rFonts w:ascii="Times New Roman" w:hAnsi="Times New Roman"/>
                <w:b/>
                <w:sz w:val="20"/>
                <w:szCs w:val="20"/>
              </w:rPr>
            </w:pPr>
            <w:bookmarkStart w:id="3" w:name="firma1"/>
            <w:bookmarkEnd w:id="3"/>
            <w:r w:rsidRPr="00C51B6B">
              <w:rPr>
                <w:rFonts w:ascii="Times New Roman" w:hAnsi="Times New Roman"/>
                <w:b/>
                <w:sz w:val="20"/>
                <w:szCs w:val="20"/>
              </w:rPr>
              <w:t>JUAN JOSÉ FRANGIE SAADE</w:t>
            </w:r>
          </w:p>
          <w:p w:rsidR="00545E1E" w:rsidRPr="00C51B6B" w:rsidRDefault="00545E1E" w:rsidP="00DF2682">
            <w:pPr>
              <w:spacing w:after="0"/>
              <w:jc w:val="center"/>
              <w:rPr>
                <w:rFonts w:ascii="Times New Roman" w:hAnsi="Times New Roman"/>
                <w:b/>
                <w:sz w:val="20"/>
                <w:szCs w:val="20"/>
              </w:rPr>
            </w:pPr>
            <w:bookmarkStart w:id="4" w:name="Cargo1"/>
            <w:bookmarkEnd w:id="4"/>
            <w:r w:rsidRPr="00C51B6B">
              <w:rPr>
                <w:rFonts w:ascii="Times New Roman" w:hAnsi="Times New Roman"/>
                <w:b/>
                <w:sz w:val="20"/>
                <w:szCs w:val="20"/>
              </w:rPr>
              <w:t xml:space="preserve">PRESIDENTE MUNICIPAL </w:t>
            </w:r>
          </w:p>
        </w:tc>
        <w:tc>
          <w:tcPr>
            <w:tcW w:w="1242" w:type="dxa"/>
            <w:shd w:val="clear" w:color="auto" w:fill="auto"/>
          </w:tcPr>
          <w:p w:rsidR="00545E1E" w:rsidRPr="00C51B6B" w:rsidRDefault="00545E1E" w:rsidP="00DF2682">
            <w:pPr>
              <w:spacing w:after="0"/>
              <w:rPr>
                <w:rFonts w:ascii="Times New Roman" w:hAnsi="Times New Roman"/>
                <w:b/>
                <w:sz w:val="20"/>
                <w:szCs w:val="20"/>
              </w:rPr>
            </w:pPr>
          </w:p>
        </w:tc>
        <w:tc>
          <w:tcPr>
            <w:tcW w:w="3849" w:type="dxa"/>
            <w:shd w:val="clear" w:color="auto" w:fill="auto"/>
          </w:tcPr>
          <w:p w:rsidR="00545E1E" w:rsidRPr="00C51B6B" w:rsidRDefault="00545E1E" w:rsidP="00DF2682">
            <w:pPr>
              <w:spacing w:after="0"/>
              <w:jc w:val="center"/>
              <w:rPr>
                <w:rFonts w:ascii="Times New Roman" w:hAnsi="Times New Roman"/>
                <w:b/>
                <w:sz w:val="20"/>
                <w:szCs w:val="20"/>
              </w:rPr>
            </w:pPr>
            <w:bookmarkStart w:id="5" w:name="firma2"/>
            <w:bookmarkEnd w:id="5"/>
            <w:r w:rsidRPr="00C51B6B">
              <w:rPr>
                <w:rFonts w:ascii="Times New Roman" w:hAnsi="Times New Roman"/>
                <w:b/>
                <w:sz w:val="20"/>
                <w:szCs w:val="20"/>
              </w:rPr>
              <w:t>MTRA. ADRIANA ROMO LÓPEZ</w:t>
            </w:r>
          </w:p>
          <w:p w:rsidR="00545E1E" w:rsidRPr="00C51B6B" w:rsidRDefault="00545E1E" w:rsidP="00DF2682">
            <w:pPr>
              <w:spacing w:after="0"/>
              <w:jc w:val="center"/>
              <w:rPr>
                <w:rFonts w:ascii="Times New Roman" w:hAnsi="Times New Roman"/>
                <w:b/>
                <w:sz w:val="20"/>
                <w:szCs w:val="20"/>
              </w:rPr>
            </w:pPr>
            <w:bookmarkStart w:id="6" w:name="Cargo2"/>
            <w:bookmarkEnd w:id="6"/>
            <w:r w:rsidRPr="00C51B6B">
              <w:rPr>
                <w:rFonts w:ascii="Times New Roman" w:hAnsi="Times New Roman"/>
                <w:b/>
                <w:sz w:val="20"/>
                <w:szCs w:val="20"/>
              </w:rPr>
              <w:t>TESORERO MUNICIPAL</w:t>
            </w:r>
          </w:p>
        </w:tc>
      </w:tr>
    </w:tbl>
    <w:p w:rsidR="00545E1E" w:rsidRPr="00C51B6B" w:rsidRDefault="00545E1E" w:rsidP="00545E1E">
      <w:pPr>
        <w:rPr>
          <w:rFonts w:ascii="Times New Roman" w:hAnsi="Times New Roman"/>
          <w:sz w:val="20"/>
          <w:szCs w:val="20"/>
        </w:rPr>
      </w:pPr>
    </w:p>
    <w:p w:rsidR="001C3530" w:rsidRPr="00C51B6B" w:rsidRDefault="0029411E" w:rsidP="006F71CC">
      <w:pPr>
        <w:rPr>
          <w:rFonts w:ascii="Times New Roman" w:hAnsi="Times New Roman"/>
          <w:sz w:val="20"/>
          <w:szCs w:val="20"/>
        </w:rPr>
      </w:pPr>
      <w:bookmarkStart w:id="7" w:name="codigo"/>
      <w:bookmarkEnd w:id="7"/>
      <w:r w:rsidRPr="0029411E">
        <w:rPr>
          <w:rFonts w:ascii="Times New Roman" w:hAnsi="Times New Roman"/>
          <w:sz w:val="20"/>
          <w:szCs w:val="20"/>
        </w:rPr>
        <w:t>Bajo protesta de decir verdad declaramos que los Estados Financieros y sus notas, son razonablemente correctos y son responsabilidad del emisor.</w:t>
      </w:r>
    </w:p>
    <w:sectPr w:rsidR="001C3530" w:rsidRPr="00C51B6B" w:rsidSect="009E215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F7" w:rsidRDefault="00027FF7" w:rsidP="00170B4B">
      <w:pPr>
        <w:spacing w:after="0" w:line="240" w:lineRule="auto"/>
      </w:pPr>
      <w:r>
        <w:separator/>
      </w:r>
    </w:p>
  </w:endnote>
  <w:endnote w:type="continuationSeparator" w:id="0">
    <w:p w:rsidR="00027FF7" w:rsidRDefault="00027FF7" w:rsidP="00170B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F7" w:rsidRDefault="00027FF7" w:rsidP="00170B4B">
      <w:pPr>
        <w:spacing w:after="0" w:line="240" w:lineRule="auto"/>
      </w:pPr>
      <w:r>
        <w:separator/>
      </w:r>
    </w:p>
  </w:footnote>
  <w:footnote w:type="continuationSeparator" w:id="0">
    <w:p w:rsidR="00027FF7" w:rsidRDefault="00027FF7" w:rsidP="00170B4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7"/>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F15E3"/>
    <w:rsid w:val="000006C5"/>
    <w:rsid w:val="00006C55"/>
    <w:rsid w:val="00007145"/>
    <w:rsid w:val="0001562A"/>
    <w:rsid w:val="0002414B"/>
    <w:rsid w:val="0002586B"/>
    <w:rsid w:val="00027FF7"/>
    <w:rsid w:val="000311C1"/>
    <w:rsid w:val="00034C2A"/>
    <w:rsid w:val="00035091"/>
    <w:rsid w:val="000421C6"/>
    <w:rsid w:val="000428D4"/>
    <w:rsid w:val="00045CB9"/>
    <w:rsid w:val="00051F96"/>
    <w:rsid w:val="00054919"/>
    <w:rsid w:val="00062E37"/>
    <w:rsid w:val="00066595"/>
    <w:rsid w:val="00072A8F"/>
    <w:rsid w:val="00076BCA"/>
    <w:rsid w:val="00076C81"/>
    <w:rsid w:val="0008706D"/>
    <w:rsid w:val="000903BB"/>
    <w:rsid w:val="0009234F"/>
    <w:rsid w:val="00092760"/>
    <w:rsid w:val="000A0CD0"/>
    <w:rsid w:val="000A322F"/>
    <w:rsid w:val="000A32B9"/>
    <w:rsid w:val="000A517F"/>
    <w:rsid w:val="000B08CD"/>
    <w:rsid w:val="000D038C"/>
    <w:rsid w:val="000D1F9D"/>
    <w:rsid w:val="000D6FB0"/>
    <w:rsid w:val="000E1C05"/>
    <w:rsid w:val="000E27F9"/>
    <w:rsid w:val="000E3107"/>
    <w:rsid w:val="000E72A3"/>
    <w:rsid w:val="000E761D"/>
    <w:rsid w:val="000F0804"/>
    <w:rsid w:val="000F185C"/>
    <w:rsid w:val="000F4B18"/>
    <w:rsid w:val="00103027"/>
    <w:rsid w:val="001033B3"/>
    <w:rsid w:val="00103CE9"/>
    <w:rsid w:val="0010718F"/>
    <w:rsid w:val="0011107F"/>
    <w:rsid w:val="00111918"/>
    <w:rsid w:val="00116104"/>
    <w:rsid w:val="0011666D"/>
    <w:rsid w:val="001200AE"/>
    <w:rsid w:val="001243C9"/>
    <w:rsid w:val="00124EC4"/>
    <w:rsid w:val="0012662F"/>
    <w:rsid w:val="0013069C"/>
    <w:rsid w:val="00134EEC"/>
    <w:rsid w:val="00135267"/>
    <w:rsid w:val="00141275"/>
    <w:rsid w:val="00144056"/>
    <w:rsid w:val="001444F5"/>
    <w:rsid w:val="00144A7D"/>
    <w:rsid w:val="00144E0C"/>
    <w:rsid w:val="00151F61"/>
    <w:rsid w:val="0016215F"/>
    <w:rsid w:val="001621C3"/>
    <w:rsid w:val="001647A0"/>
    <w:rsid w:val="001669C7"/>
    <w:rsid w:val="00170B4B"/>
    <w:rsid w:val="0017143B"/>
    <w:rsid w:val="001725DC"/>
    <w:rsid w:val="00172DFE"/>
    <w:rsid w:val="00177B5B"/>
    <w:rsid w:val="00184C5E"/>
    <w:rsid w:val="00196F87"/>
    <w:rsid w:val="001A0E9D"/>
    <w:rsid w:val="001A13BD"/>
    <w:rsid w:val="001A1600"/>
    <w:rsid w:val="001A5FE4"/>
    <w:rsid w:val="001A7852"/>
    <w:rsid w:val="001B27AA"/>
    <w:rsid w:val="001B367F"/>
    <w:rsid w:val="001B3FD2"/>
    <w:rsid w:val="001C3530"/>
    <w:rsid w:val="001C43CF"/>
    <w:rsid w:val="001D5BED"/>
    <w:rsid w:val="001D6A92"/>
    <w:rsid w:val="001D74C8"/>
    <w:rsid w:val="001E1AE2"/>
    <w:rsid w:val="001E26F2"/>
    <w:rsid w:val="001E7BE3"/>
    <w:rsid w:val="00202F69"/>
    <w:rsid w:val="0020774A"/>
    <w:rsid w:val="00211C90"/>
    <w:rsid w:val="00211E89"/>
    <w:rsid w:val="00213A5A"/>
    <w:rsid w:val="002163C1"/>
    <w:rsid w:val="00221CFB"/>
    <w:rsid w:val="00223BB1"/>
    <w:rsid w:val="00224C2C"/>
    <w:rsid w:val="0023109F"/>
    <w:rsid w:val="00244A89"/>
    <w:rsid w:val="002472F9"/>
    <w:rsid w:val="00250AB6"/>
    <w:rsid w:val="00250B97"/>
    <w:rsid w:val="00254DC1"/>
    <w:rsid w:val="0026213B"/>
    <w:rsid w:val="00273F69"/>
    <w:rsid w:val="002772FF"/>
    <w:rsid w:val="00277596"/>
    <w:rsid w:val="00282982"/>
    <w:rsid w:val="00282CAB"/>
    <w:rsid w:val="0028306D"/>
    <w:rsid w:val="00292CDB"/>
    <w:rsid w:val="002938D3"/>
    <w:rsid w:val="0029411E"/>
    <w:rsid w:val="00297768"/>
    <w:rsid w:val="002A00BB"/>
    <w:rsid w:val="002A0B8A"/>
    <w:rsid w:val="002A1827"/>
    <w:rsid w:val="002A4D02"/>
    <w:rsid w:val="002A58AE"/>
    <w:rsid w:val="002A661A"/>
    <w:rsid w:val="002B305F"/>
    <w:rsid w:val="002C1189"/>
    <w:rsid w:val="002C4BAC"/>
    <w:rsid w:val="002D37E4"/>
    <w:rsid w:val="002D3EDE"/>
    <w:rsid w:val="002F1905"/>
    <w:rsid w:val="002F3E8E"/>
    <w:rsid w:val="002F6139"/>
    <w:rsid w:val="003004D3"/>
    <w:rsid w:val="00320FED"/>
    <w:rsid w:val="0033176B"/>
    <w:rsid w:val="00333036"/>
    <w:rsid w:val="003339BF"/>
    <w:rsid w:val="00334040"/>
    <w:rsid w:val="00337A3C"/>
    <w:rsid w:val="00337CAF"/>
    <w:rsid w:val="0034361D"/>
    <w:rsid w:val="003460C9"/>
    <w:rsid w:val="0034621D"/>
    <w:rsid w:val="00347043"/>
    <w:rsid w:val="00365C1F"/>
    <w:rsid w:val="00367435"/>
    <w:rsid w:val="0037617F"/>
    <w:rsid w:val="0038485F"/>
    <w:rsid w:val="00385C9A"/>
    <w:rsid w:val="00390611"/>
    <w:rsid w:val="00391577"/>
    <w:rsid w:val="00392319"/>
    <w:rsid w:val="00392BCF"/>
    <w:rsid w:val="00396E2C"/>
    <w:rsid w:val="003A0268"/>
    <w:rsid w:val="003A48EF"/>
    <w:rsid w:val="003A7F30"/>
    <w:rsid w:val="003B177D"/>
    <w:rsid w:val="003C53DE"/>
    <w:rsid w:val="003E02E1"/>
    <w:rsid w:val="003E24DB"/>
    <w:rsid w:val="003E3178"/>
    <w:rsid w:val="003E5EC4"/>
    <w:rsid w:val="003E724A"/>
    <w:rsid w:val="003F7DA6"/>
    <w:rsid w:val="004041C0"/>
    <w:rsid w:val="004059C8"/>
    <w:rsid w:val="0040643B"/>
    <w:rsid w:val="00423F71"/>
    <w:rsid w:val="004275E8"/>
    <w:rsid w:val="004304D6"/>
    <w:rsid w:val="00437F71"/>
    <w:rsid w:val="00441969"/>
    <w:rsid w:val="00444F97"/>
    <w:rsid w:val="00445FE5"/>
    <w:rsid w:val="0044621D"/>
    <w:rsid w:val="0045437D"/>
    <w:rsid w:val="00454EB8"/>
    <w:rsid w:val="0046312E"/>
    <w:rsid w:val="00473117"/>
    <w:rsid w:val="004874C2"/>
    <w:rsid w:val="004921CA"/>
    <w:rsid w:val="004A176F"/>
    <w:rsid w:val="004A2601"/>
    <w:rsid w:val="004A37EF"/>
    <w:rsid w:val="004B5A93"/>
    <w:rsid w:val="004C13C8"/>
    <w:rsid w:val="004C1508"/>
    <w:rsid w:val="004C69E8"/>
    <w:rsid w:val="004D1121"/>
    <w:rsid w:val="004D438B"/>
    <w:rsid w:val="004D4D8A"/>
    <w:rsid w:val="004E2910"/>
    <w:rsid w:val="004F430C"/>
    <w:rsid w:val="00501146"/>
    <w:rsid w:val="005069D7"/>
    <w:rsid w:val="00506B78"/>
    <w:rsid w:val="00513433"/>
    <w:rsid w:val="00514F7B"/>
    <w:rsid w:val="00517322"/>
    <w:rsid w:val="00525982"/>
    <w:rsid w:val="00530A4B"/>
    <w:rsid w:val="00531837"/>
    <w:rsid w:val="00531B30"/>
    <w:rsid w:val="00532977"/>
    <w:rsid w:val="00534213"/>
    <w:rsid w:val="005402B2"/>
    <w:rsid w:val="005449E2"/>
    <w:rsid w:val="00545E1E"/>
    <w:rsid w:val="00551E29"/>
    <w:rsid w:val="00563A67"/>
    <w:rsid w:val="00564D79"/>
    <w:rsid w:val="00573A86"/>
    <w:rsid w:val="00580657"/>
    <w:rsid w:val="00580E5F"/>
    <w:rsid w:val="00583CB2"/>
    <w:rsid w:val="005844FA"/>
    <w:rsid w:val="0058574F"/>
    <w:rsid w:val="00593200"/>
    <w:rsid w:val="0059381A"/>
    <w:rsid w:val="005970F3"/>
    <w:rsid w:val="00597A00"/>
    <w:rsid w:val="005A678B"/>
    <w:rsid w:val="005B2ED7"/>
    <w:rsid w:val="005B31AA"/>
    <w:rsid w:val="005B3F21"/>
    <w:rsid w:val="005C4C05"/>
    <w:rsid w:val="005C7D5F"/>
    <w:rsid w:val="005D03F3"/>
    <w:rsid w:val="005D0F11"/>
    <w:rsid w:val="005E5247"/>
    <w:rsid w:val="005E7738"/>
    <w:rsid w:val="005F5FEC"/>
    <w:rsid w:val="005F63AD"/>
    <w:rsid w:val="00612D70"/>
    <w:rsid w:val="006151C1"/>
    <w:rsid w:val="00622CE2"/>
    <w:rsid w:val="00623432"/>
    <w:rsid w:val="00624299"/>
    <w:rsid w:val="00626636"/>
    <w:rsid w:val="006268B6"/>
    <w:rsid w:val="006323FB"/>
    <w:rsid w:val="006358BA"/>
    <w:rsid w:val="00637165"/>
    <w:rsid w:val="00641C7D"/>
    <w:rsid w:val="006424C5"/>
    <w:rsid w:val="00647B8F"/>
    <w:rsid w:val="00654865"/>
    <w:rsid w:val="00655491"/>
    <w:rsid w:val="0065720A"/>
    <w:rsid w:val="00660DE8"/>
    <w:rsid w:val="00660F94"/>
    <w:rsid w:val="0066153B"/>
    <w:rsid w:val="00664148"/>
    <w:rsid w:val="00664B48"/>
    <w:rsid w:val="00687183"/>
    <w:rsid w:val="00687805"/>
    <w:rsid w:val="00696284"/>
    <w:rsid w:val="00696E8B"/>
    <w:rsid w:val="006A04C7"/>
    <w:rsid w:val="006A71F4"/>
    <w:rsid w:val="006B06EB"/>
    <w:rsid w:val="006B0896"/>
    <w:rsid w:val="006B3F9C"/>
    <w:rsid w:val="006B4B42"/>
    <w:rsid w:val="006B518F"/>
    <w:rsid w:val="006B6696"/>
    <w:rsid w:val="006C0815"/>
    <w:rsid w:val="006C3267"/>
    <w:rsid w:val="006C7BB5"/>
    <w:rsid w:val="006D2FA8"/>
    <w:rsid w:val="006E2F08"/>
    <w:rsid w:val="006E43D4"/>
    <w:rsid w:val="006E5C2D"/>
    <w:rsid w:val="006F1A11"/>
    <w:rsid w:val="006F71CC"/>
    <w:rsid w:val="007004F7"/>
    <w:rsid w:val="007035BB"/>
    <w:rsid w:val="00705BB8"/>
    <w:rsid w:val="00712408"/>
    <w:rsid w:val="0071787C"/>
    <w:rsid w:val="00721248"/>
    <w:rsid w:val="00722695"/>
    <w:rsid w:val="00722BE2"/>
    <w:rsid w:val="007269EB"/>
    <w:rsid w:val="00730FCF"/>
    <w:rsid w:val="00735719"/>
    <w:rsid w:val="00737BAC"/>
    <w:rsid w:val="00740056"/>
    <w:rsid w:val="007454F6"/>
    <w:rsid w:val="00752B00"/>
    <w:rsid w:val="00752F56"/>
    <w:rsid w:val="00753DE0"/>
    <w:rsid w:val="00760713"/>
    <w:rsid w:val="00761010"/>
    <w:rsid w:val="007637A3"/>
    <w:rsid w:val="007667E9"/>
    <w:rsid w:val="00767885"/>
    <w:rsid w:val="007707E4"/>
    <w:rsid w:val="007708AC"/>
    <w:rsid w:val="00776A39"/>
    <w:rsid w:val="007771FB"/>
    <w:rsid w:val="00785F80"/>
    <w:rsid w:val="00790F5F"/>
    <w:rsid w:val="00792931"/>
    <w:rsid w:val="00793119"/>
    <w:rsid w:val="00794D88"/>
    <w:rsid w:val="00796B01"/>
    <w:rsid w:val="00796F5A"/>
    <w:rsid w:val="007A00AA"/>
    <w:rsid w:val="007A18E0"/>
    <w:rsid w:val="007A20AD"/>
    <w:rsid w:val="007A210A"/>
    <w:rsid w:val="007A280E"/>
    <w:rsid w:val="007A2FE0"/>
    <w:rsid w:val="007A4D55"/>
    <w:rsid w:val="007A5A88"/>
    <w:rsid w:val="007B4C35"/>
    <w:rsid w:val="007B60A4"/>
    <w:rsid w:val="007C005A"/>
    <w:rsid w:val="007C0E09"/>
    <w:rsid w:val="007C6E3E"/>
    <w:rsid w:val="007D0CE0"/>
    <w:rsid w:val="007D32D7"/>
    <w:rsid w:val="007D3D91"/>
    <w:rsid w:val="007D4DAE"/>
    <w:rsid w:val="007D6FA1"/>
    <w:rsid w:val="007E0A61"/>
    <w:rsid w:val="007E2E34"/>
    <w:rsid w:val="007E3E89"/>
    <w:rsid w:val="007F00BE"/>
    <w:rsid w:val="007F5EB2"/>
    <w:rsid w:val="007F676E"/>
    <w:rsid w:val="00801557"/>
    <w:rsid w:val="00805D1E"/>
    <w:rsid w:val="00813C37"/>
    <w:rsid w:val="00814656"/>
    <w:rsid w:val="008241D3"/>
    <w:rsid w:val="008242C9"/>
    <w:rsid w:val="00826CA2"/>
    <w:rsid w:val="0083172A"/>
    <w:rsid w:val="00832CD2"/>
    <w:rsid w:val="0083468B"/>
    <w:rsid w:val="008404CB"/>
    <w:rsid w:val="00841D91"/>
    <w:rsid w:val="00842089"/>
    <w:rsid w:val="00844503"/>
    <w:rsid w:val="00845C8B"/>
    <w:rsid w:val="00856FE7"/>
    <w:rsid w:val="00857340"/>
    <w:rsid w:val="0086594D"/>
    <w:rsid w:val="00876B6D"/>
    <w:rsid w:val="008815DB"/>
    <w:rsid w:val="008821DA"/>
    <w:rsid w:val="00884DF3"/>
    <w:rsid w:val="0088762A"/>
    <w:rsid w:val="00894AEC"/>
    <w:rsid w:val="008A355E"/>
    <w:rsid w:val="008A4868"/>
    <w:rsid w:val="008A5397"/>
    <w:rsid w:val="008A7BE7"/>
    <w:rsid w:val="008B49D5"/>
    <w:rsid w:val="008B4BFD"/>
    <w:rsid w:val="008B5001"/>
    <w:rsid w:val="008B7E33"/>
    <w:rsid w:val="008C0D84"/>
    <w:rsid w:val="008C4B7E"/>
    <w:rsid w:val="008C7259"/>
    <w:rsid w:val="008C7D30"/>
    <w:rsid w:val="008D3E67"/>
    <w:rsid w:val="008D46B8"/>
    <w:rsid w:val="008E3117"/>
    <w:rsid w:val="008F38DC"/>
    <w:rsid w:val="008F44B7"/>
    <w:rsid w:val="008F5451"/>
    <w:rsid w:val="009007A6"/>
    <w:rsid w:val="00901CCC"/>
    <w:rsid w:val="009047FE"/>
    <w:rsid w:val="00904FF6"/>
    <w:rsid w:val="009121C5"/>
    <w:rsid w:val="00913C00"/>
    <w:rsid w:val="00923057"/>
    <w:rsid w:val="00926A0B"/>
    <w:rsid w:val="0093677A"/>
    <w:rsid w:val="00944AA3"/>
    <w:rsid w:val="00945202"/>
    <w:rsid w:val="009473E5"/>
    <w:rsid w:val="00950316"/>
    <w:rsid w:val="00952373"/>
    <w:rsid w:val="009526DD"/>
    <w:rsid w:val="00957575"/>
    <w:rsid w:val="00960460"/>
    <w:rsid w:val="00976555"/>
    <w:rsid w:val="009832AE"/>
    <w:rsid w:val="00985223"/>
    <w:rsid w:val="00987D6D"/>
    <w:rsid w:val="0099349B"/>
    <w:rsid w:val="00997F7A"/>
    <w:rsid w:val="009A1642"/>
    <w:rsid w:val="009A430A"/>
    <w:rsid w:val="009A5184"/>
    <w:rsid w:val="009A5568"/>
    <w:rsid w:val="009A6115"/>
    <w:rsid w:val="009A648E"/>
    <w:rsid w:val="009C29E9"/>
    <w:rsid w:val="009C2FD1"/>
    <w:rsid w:val="009C3617"/>
    <w:rsid w:val="009C43B4"/>
    <w:rsid w:val="009D4054"/>
    <w:rsid w:val="009E0791"/>
    <w:rsid w:val="009E0C14"/>
    <w:rsid w:val="009E2155"/>
    <w:rsid w:val="009E2726"/>
    <w:rsid w:val="009E36E2"/>
    <w:rsid w:val="009E3B81"/>
    <w:rsid w:val="009F0E0C"/>
    <w:rsid w:val="009F127E"/>
    <w:rsid w:val="009F2046"/>
    <w:rsid w:val="009F4C1F"/>
    <w:rsid w:val="00A00B45"/>
    <w:rsid w:val="00A04DEE"/>
    <w:rsid w:val="00A0532F"/>
    <w:rsid w:val="00A06A20"/>
    <w:rsid w:val="00A13892"/>
    <w:rsid w:val="00A14EDE"/>
    <w:rsid w:val="00A2142E"/>
    <w:rsid w:val="00A22DF2"/>
    <w:rsid w:val="00A23452"/>
    <w:rsid w:val="00A301C3"/>
    <w:rsid w:val="00A31BDE"/>
    <w:rsid w:val="00A4064C"/>
    <w:rsid w:val="00A40DFA"/>
    <w:rsid w:val="00A444CD"/>
    <w:rsid w:val="00A65A5B"/>
    <w:rsid w:val="00A673A2"/>
    <w:rsid w:val="00A678C4"/>
    <w:rsid w:val="00A770AD"/>
    <w:rsid w:val="00A85425"/>
    <w:rsid w:val="00A87049"/>
    <w:rsid w:val="00A91762"/>
    <w:rsid w:val="00A96990"/>
    <w:rsid w:val="00AC0400"/>
    <w:rsid w:val="00AC2783"/>
    <w:rsid w:val="00AC6EE0"/>
    <w:rsid w:val="00AD17E5"/>
    <w:rsid w:val="00AD21CD"/>
    <w:rsid w:val="00AF5AB4"/>
    <w:rsid w:val="00AF7B87"/>
    <w:rsid w:val="00B001C1"/>
    <w:rsid w:val="00B01EFA"/>
    <w:rsid w:val="00B1476A"/>
    <w:rsid w:val="00B16610"/>
    <w:rsid w:val="00B20334"/>
    <w:rsid w:val="00B21C5E"/>
    <w:rsid w:val="00B21D55"/>
    <w:rsid w:val="00B25690"/>
    <w:rsid w:val="00B33A86"/>
    <w:rsid w:val="00B40D8D"/>
    <w:rsid w:val="00B454F9"/>
    <w:rsid w:val="00B4742D"/>
    <w:rsid w:val="00B47894"/>
    <w:rsid w:val="00B524BC"/>
    <w:rsid w:val="00B52C22"/>
    <w:rsid w:val="00B54F8D"/>
    <w:rsid w:val="00B5659D"/>
    <w:rsid w:val="00B56648"/>
    <w:rsid w:val="00B577DE"/>
    <w:rsid w:val="00B60249"/>
    <w:rsid w:val="00B610A3"/>
    <w:rsid w:val="00B712EA"/>
    <w:rsid w:val="00B738CF"/>
    <w:rsid w:val="00B746F2"/>
    <w:rsid w:val="00B8364B"/>
    <w:rsid w:val="00B86C0A"/>
    <w:rsid w:val="00B93DBA"/>
    <w:rsid w:val="00B9412F"/>
    <w:rsid w:val="00B96D42"/>
    <w:rsid w:val="00BA520D"/>
    <w:rsid w:val="00BB27AF"/>
    <w:rsid w:val="00BB434F"/>
    <w:rsid w:val="00BC24EB"/>
    <w:rsid w:val="00BC5C80"/>
    <w:rsid w:val="00BC6253"/>
    <w:rsid w:val="00BC75DC"/>
    <w:rsid w:val="00BD19AD"/>
    <w:rsid w:val="00BD1C9B"/>
    <w:rsid w:val="00BD3A98"/>
    <w:rsid w:val="00BD3AF5"/>
    <w:rsid w:val="00BD568C"/>
    <w:rsid w:val="00BE2864"/>
    <w:rsid w:val="00BE6576"/>
    <w:rsid w:val="00BF3B8B"/>
    <w:rsid w:val="00C04E20"/>
    <w:rsid w:val="00C06BE9"/>
    <w:rsid w:val="00C072F9"/>
    <w:rsid w:val="00C10E1B"/>
    <w:rsid w:val="00C16117"/>
    <w:rsid w:val="00C16816"/>
    <w:rsid w:val="00C21BD3"/>
    <w:rsid w:val="00C2228B"/>
    <w:rsid w:val="00C24008"/>
    <w:rsid w:val="00C2448C"/>
    <w:rsid w:val="00C25BF5"/>
    <w:rsid w:val="00C37565"/>
    <w:rsid w:val="00C40ADC"/>
    <w:rsid w:val="00C43882"/>
    <w:rsid w:val="00C50FCA"/>
    <w:rsid w:val="00C51B6B"/>
    <w:rsid w:val="00C52022"/>
    <w:rsid w:val="00C558EF"/>
    <w:rsid w:val="00C55EB7"/>
    <w:rsid w:val="00C617F2"/>
    <w:rsid w:val="00C62EE8"/>
    <w:rsid w:val="00C64B56"/>
    <w:rsid w:val="00C6629F"/>
    <w:rsid w:val="00C702A3"/>
    <w:rsid w:val="00C70381"/>
    <w:rsid w:val="00C7669E"/>
    <w:rsid w:val="00C81296"/>
    <w:rsid w:val="00C83EC3"/>
    <w:rsid w:val="00C87081"/>
    <w:rsid w:val="00C90837"/>
    <w:rsid w:val="00C94D84"/>
    <w:rsid w:val="00CA216A"/>
    <w:rsid w:val="00CB5368"/>
    <w:rsid w:val="00CB627D"/>
    <w:rsid w:val="00CB7183"/>
    <w:rsid w:val="00CC399D"/>
    <w:rsid w:val="00CC3C78"/>
    <w:rsid w:val="00CC44E8"/>
    <w:rsid w:val="00CC5564"/>
    <w:rsid w:val="00CC6838"/>
    <w:rsid w:val="00CC7FE2"/>
    <w:rsid w:val="00CD2566"/>
    <w:rsid w:val="00CD292D"/>
    <w:rsid w:val="00CD34DC"/>
    <w:rsid w:val="00CD75FA"/>
    <w:rsid w:val="00CE1410"/>
    <w:rsid w:val="00CE32BE"/>
    <w:rsid w:val="00CE75FD"/>
    <w:rsid w:val="00CF215F"/>
    <w:rsid w:val="00CF3D9C"/>
    <w:rsid w:val="00CF50A6"/>
    <w:rsid w:val="00CF73A2"/>
    <w:rsid w:val="00D003B3"/>
    <w:rsid w:val="00D06A39"/>
    <w:rsid w:val="00D10E5C"/>
    <w:rsid w:val="00D11BEC"/>
    <w:rsid w:val="00D140F0"/>
    <w:rsid w:val="00D17770"/>
    <w:rsid w:val="00D17FF6"/>
    <w:rsid w:val="00D20470"/>
    <w:rsid w:val="00D245B2"/>
    <w:rsid w:val="00D34498"/>
    <w:rsid w:val="00D50656"/>
    <w:rsid w:val="00D526BB"/>
    <w:rsid w:val="00D55177"/>
    <w:rsid w:val="00D5579A"/>
    <w:rsid w:val="00D6054C"/>
    <w:rsid w:val="00D62216"/>
    <w:rsid w:val="00D73D8A"/>
    <w:rsid w:val="00D741BD"/>
    <w:rsid w:val="00D7794E"/>
    <w:rsid w:val="00D836C9"/>
    <w:rsid w:val="00D9507F"/>
    <w:rsid w:val="00D9716B"/>
    <w:rsid w:val="00DA1CC6"/>
    <w:rsid w:val="00DB0AC5"/>
    <w:rsid w:val="00DC69A8"/>
    <w:rsid w:val="00DC72C3"/>
    <w:rsid w:val="00DD3266"/>
    <w:rsid w:val="00DD54B5"/>
    <w:rsid w:val="00DE2722"/>
    <w:rsid w:val="00DE3D45"/>
    <w:rsid w:val="00DF0AAA"/>
    <w:rsid w:val="00DF2682"/>
    <w:rsid w:val="00DF3AB7"/>
    <w:rsid w:val="00E02273"/>
    <w:rsid w:val="00E0479C"/>
    <w:rsid w:val="00E0512B"/>
    <w:rsid w:val="00E1346E"/>
    <w:rsid w:val="00E16F04"/>
    <w:rsid w:val="00E37A1D"/>
    <w:rsid w:val="00E41DA7"/>
    <w:rsid w:val="00E430FB"/>
    <w:rsid w:val="00E472CE"/>
    <w:rsid w:val="00E51374"/>
    <w:rsid w:val="00E52459"/>
    <w:rsid w:val="00E55666"/>
    <w:rsid w:val="00E57BDA"/>
    <w:rsid w:val="00E60558"/>
    <w:rsid w:val="00E61799"/>
    <w:rsid w:val="00E62B2B"/>
    <w:rsid w:val="00E647A8"/>
    <w:rsid w:val="00E64CBA"/>
    <w:rsid w:val="00E64F73"/>
    <w:rsid w:val="00E667D8"/>
    <w:rsid w:val="00E7444D"/>
    <w:rsid w:val="00E762C3"/>
    <w:rsid w:val="00E80680"/>
    <w:rsid w:val="00E81D29"/>
    <w:rsid w:val="00E82E56"/>
    <w:rsid w:val="00E83B56"/>
    <w:rsid w:val="00E85D0F"/>
    <w:rsid w:val="00E85F4B"/>
    <w:rsid w:val="00E91BA6"/>
    <w:rsid w:val="00E92516"/>
    <w:rsid w:val="00E93CF6"/>
    <w:rsid w:val="00EA0924"/>
    <w:rsid w:val="00EA0C35"/>
    <w:rsid w:val="00EA27F6"/>
    <w:rsid w:val="00EA7224"/>
    <w:rsid w:val="00EB226D"/>
    <w:rsid w:val="00EB445B"/>
    <w:rsid w:val="00EC61E8"/>
    <w:rsid w:val="00EC681C"/>
    <w:rsid w:val="00ED50FB"/>
    <w:rsid w:val="00ED5411"/>
    <w:rsid w:val="00EE3BB9"/>
    <w:rsid w:val="00EF15E3"/>
    <w:rsid w:val="00EF5F41"/>
    <w:rsid w:val="00F02E77"/>
    <w:rsid w:val="00F0619B"/>
    <w:rsid w:val="00F062A2"/>
    <w:rsid w:val="00F16318"/>
    <w:rsid w:val="00F16721"/>
    <w:rsid w:val="00F1732F"/>
    <w:rsid w:val="00F17884"/>
    <w:rsid w:val="00F20F6A"/>
    <w:rsid w:val="00F3029E"/>
    <w:rsid w:val="00F402F1"/>
    <w:rsid w:val="00F4187D"/>
    <w:rsid w:val="00F418C2"/>
    <w:rsid w:val="00F4333A"/>
    <w:rsid w:val="00F47859"/>
    <w:rsid w:val="00F57A28"/>
    <w:rsid w:val="00F6023B"/>
    <w:rsid w:val="00F60D65"/>
    <w:rsid w:val="00F61155"/>
    <w:rsid w:val="00F65A03"/>
    <w:rsid w:val="00F6601F"/>
    <w:rsid w:val="00F71739"/>
    <w:rsid w:val="00F720F7"/>
    <w:rsid w:val="00F775CB"/>
    <w:rsid w:val="00F77D76"/>
    <w:rsid w:val="00F83E01"/>
    <w:rsid w:val="00F875DC"/>
    <w:rsid w:val="00F87FE9"/>
    <w:rsid w:val="00F943C0"/>
    <w:rsid w:val="00F9595E"/>
    <w:rsid w:val="00F960A3"/>
    <w:rsid w:val="00F967FB"/>
    <w:rsid w:val="00F96B22"/>
    <w:rsid w:val="00FA367B"/>
    <w:rsid w:val="00FA3AC8"/>
    <w:rsid w:val="00FA556F"/>
    <w:rsid w:val="00FB5B80"/>
    <w:rsid w:val="00FB671F"/>
    <w:rsid w:val="00FC01E8"/>
    <w:rsid w:val="00FC1C7D"/>
    <w:rsid w:val="00FC4124"/>
    <w:rsid w:val="00FC5668"/>
    <w:rsid w:val="00FD00C4"/>
    <w:rsid w:val="00FD0960"/>
    <w:rsid w:val="00FD6981"/>
    <w:rsid w:val="00FE6E96"/>
    <w:rsid w:val="00FF63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rules v:ext="edit">
        <o:r id="V:Rule3" type="connector" idref="#AutoShape 2"/>
        <o:r id="V:Rule4" type="connector" idref="#AutoShape 3"/>
      </o:rules>
    </o:shapelayout>
  </w:shapeDefaults>
  <w:decimalSymbol w:val="."/>
  <w:listSeparator w:val=","/>
  <w15:docId w15:val="{FA2C4DD9-F4DC-4A95-8588-FD1DD99A4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4EDE"/>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0E761D"/>
    <w:pPr>
      <w:spacing w:after="0" w:line="240" w:lineRule="auto"/>
    </w:pPr>
    <w:rPr>
      <w:rFonts w:ascii="Calibri" w:eastAsia="Calibri" w:hAnsi="Calibri"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0E761D"/>
    <w:pPr>
      <w:tabs>
        <w:tab w:val="center" w:pos="4419"/>
        <w:tab w:val="right" w:pos="8838"/>
      </w:tabs>
    </w:pPr>
  </w:style>
  <w:style w:type="character" w:customStyle="1" w:styleId="EncabezadoCar">
    <w:name w:val="Encabezado Car"/>
    <w:basedOn w:val="Fuentedeprrafopredeter"/>
    <w:link w:val="Encabezado"/>
    <w:uiPriority w:val="99"/>
    <w:rsid w:val="000E761D"/>
    <w:rPr>
      <w:rFonts w:ascii="Calibri" w:eastAsia="Calibri" w:hAnsi="Calibri" w:cs="Times New Roman"/>
    </w:rPr>
  </w:style>
  <w:style w:type="paragraph" w:styleId="Piedepgina">
    <w:name w:val="footer"/>
    <w:basedOn w:val="Normal"/>
    <w:link w:val="PiedepginaCar"/>
    <w:uiPriority w:val="99"/>
    <w:unhideWhenUsed/>
    <w:rsid w:val="000E761D"/>
    <w:pPr>
      <w:tabs>
        <w:tab w:val="center" w:pos="4419"/>
        <w:tab w:val="right" w:pos="8838"/>
      </w:tabs>
    </w:pPr>
  </w:style>
  <w:style w:type="character" w:customStyle="1" w:styleId="PiedepginaCar">
    <w:name w:val="Pie de página Car"/>
    <w:basedOn w:val="Fuentedeprrafopredeter"/>
    <w:link w:val="Piedepgina"/>
    <w:uiPriority w:val="99"/>
    <w:rsid w:val="000E761D"/>
    <w:rPr>
      <w:rFonts w:ascii="Calibri" w:eastAsia="Calibri" w:hAnsi="Calibri" w:cs="Times New Roman"/>
    </w:rPr>
  </w:style>
  <w:style w:type="paragraph" w:styleId="Textodeglobo">
    <w:name w:val="Balloon Text"/>
    <w:basedOn w:val="Normal"/>
    <w:link w:val="TextodegloboCar"/>
    <w:uiPriority w:val="99"/>
    <w:semiHidden/>
    <w:unhideWhenUsed/>
    <w:rsid w:val="000E761D"/>
    <w:pPr>
      <w:spacing w:after="0" w:line="240" w:lineRule="auto"/>
    </w:pPr>
    <w:rPr>
      <w:rFonts w:ascii="Segoe UI" w:hAnsi="Segoe UI"/>
      <w:sz w:val="18"/>
      <w:szCs w:val="18"/>
    </w:rPr>
  </w:style>
  <w:style w:type="character" w:customStyle="1" w:styleId="TextodegloboCar">
    <w:name w:val="Texto de globo Car"/>
    <w:basedOn w:val="Fuentedeprrafopredeter"/>
    <w:link w:val="Textodeglobo"/>
    <w:uiPriority w:val="99"/>
    <w:semiHidden/>
    <w:rsid w:val="000E761D"/>
    <w:rPr>
      <w:rFonts w:ascii="Segoe UI" w:eastAsia="Calibri" w:hAnsi="Segoe UI" w:cs="Times New Roman"/>
      <w:sz w:val="18"/>
      <w:szCs w:val="18"/>
    </w:rPr>
  </w:style>
  <w:style w:type="paragraph" w:customStyle="1" w:styleId="Default">
    <w:name w:val="Default"/>
    <w:rsid w:val="000E761D"/>
    <w:pPr>
      <w:autoSpaceDE w:val="0"/>
      <w:autoSpaceDN w:val="0"/>
      <w:adjustRightInd w:val="0"/>
      <w:spacing w:after="0" w:line="240" w:lineRule="auto"/>
    </w:pPr>
    <w:rPr>
      <w:rFonts w:ascii="Arial" w:eastAsia="Calibri" w:hAnsi="Arial" w:cs="Arial"/>
      <w:color w:val="000000"/>
      <w:sz w:val="24"/>
      <w:szCs w:val="24"/>
    </w:rPr>
  </w:style>
  <w:style w:type="paragraph" w:styleId="Prrafodelista">
    <w:name w:val="List Paragraph"/>
    <w:basedOn w:val="Normal"/>
    <w:uiPriority w:val="34"/>
    <w:qFormat/>
    <w:rsid w:val="0068780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662">
      <w:bodyDiv w:val="1"/>
      <w:marLeft w:val="0"/>
      <w:marRight w:val="0"/>
      <w:marTop w:val="0"/>
      <w:marBottom w:val="0"/>
      <w:divBdr>
        <w:top w:val="none" w:sz="0" w:space="0" w:color="auto"/>
        <w:left w:val="none" w:sz="0" w:space="0" w:color="auto"/>
        <w:bottom w:val="none" w:sz="0" w:space="0" w:color="auto"/>
        <w:right w:val="none" w:sz="0" w:space="0" w:color="auto"/>
      </w:divBdr>
    </w:div>
    <w:div w:id="8221003">
      <w:bodyDiv w:val="1"/>
      <w:marLeft w:val="0"/>
      <w:marRight w:val="0"/>
      <w:marTop w:val="0"/>
      <w:marBottom w:val="0"/>
      <w:divBdr>
        <w:top w:val="none" w:sz="0" w:space="0" w:color="auto"/>
        <w:left w:val="none" w:sz="0" w:space="0" w:color="auto"/>
        <w:bottom w:val="none" w:sz="0" w:space="0" w:color="auto"/>
        <w:right w:val="none" w:sz="0" w:space="0" w:color="auto"/>
      </w:divBdr>
    </w:div>
    <w:div w:id="9452648">
      <w:bodyDiv w:val="1"/>
      <w:marLeft w:val="0"/>
      <w:marRight w:val="0"/>
      <w:marTop w:val="0"/>
      <w:marBottom w:val="0"/>
      <w:divBdr>
        <w:top w:val="none" w:sz="0" w:space="0" w:color="auto"/>
        <w:left w:val="none" w:sz="0" w:space="0" w:color="auto"/>
        <w:bottom w:val="none" w:sz="0" w:space="0" w:color="auto"/>
        <w:right w:val="none" w:sz="0" w:space="0" w:color="auto"/>
      </w:divBdr>
    </w:div>
    <w:div w:id="10880614">
      <w:bodyDiv w:val="1"/>
      <w:marLeft w:val="0"/>
      <w:marRight w:val="0"/>
      <w:marTop w:val="0"/>
      <w:marBottom w:val="0"/>
      <w:divBdr>
        <w:top w:val="none" w:sz="0" w:space="0" w:color="auto"/>
        <w:left w:val="none" w:sz="0" w:space="0" w:color="auto"/>
        <w:bottom w:val="none" w:sz="0" w:space="0" w:color="auto"/>
        <w:right w:val="none" w:sz="0" w:space="0" w:color="auto"/>
      </w:divBdr>
    </w:div>
    <w:div w:id="16086917">
      <w:bodyDiv w:val="1"/>
      <w:marLeft w:val="0"/>
      <w:marRight w:val="0"/>
      <w:marTop w:val="0"/>
      <w:marBottom w:val="0"/>
      <w:divBdr>
        <w:top w:val="none" w:sz="0" w:space="0" w:color="auto"/>
        <w:left w:val="none" w:sz="0" w:space="0" w:color="auto"/>
        <w:bottom w:val="none" w:sz="0" w:space="0" w:color="auto"/>
        <w:right w:val="none" w:sz="0" w:space="0" w:color="auto"/>
      </w:divBdr>
    </w:div>
    <w:div w:id="106848548">
      <w:bodyDiv w:val="1"/>
      <w:marLeft w:val="0"/>
      <w:marRight w:val="0"/>
      <w:marTop w:val="0"/>
      <w:marBottom w:val="0"/>
      <w:divBdr>
        <w:top w:val="none" w:sz="0" w:space="0" w:color="auto"/>
        <w:left w:val="none" w:sz="0" w:space="0" w:color="auto"/>
        <w:bottom w:val="none" w:sz="0" w:space="0" w:color="auto"/>
        <w:right w:val="none" w:sz="0" w:space="0" w:color="auto"/>
      </w:divBdr>
    </w:div>
    <w:div w:id="145778137">
      <w:bodyDiv w:val="1"/>
      <w:marLeft w:val="0"/>
      <w:marRight w:val="0"/>
      <w:marTop w:val="0"/>
      <w:marBottom w:val="0"/>
      <w:divBdr>
        <w:top w:val="none" w:sz="0" w:space="0" w:color="auto"/>
        <w:left w:val="none" w:sz="0" w:space="0" w:color="auto"/>
        <w:bottom w:val="none" w:sz="0" w:space="0" w:color="auto"/>
        <w:right w:val="none" w:sz="0" w:space="0" w:color="auto"/>
      </w:divBdr>
    </w:div>
    <w:div w:id="236676610">
      <w:bodyDiv w:val="1"/>
      <w:marLeft w:val="0"/>
      <w:marRight w:val="0"/>
      <w:marTop w:val="0"/>
      <w:marBottom w:val="0"/>
      <w:divBdr>
        <w:top w:val="none" w:sz="0" w:space="0" w:color="auto"/>
        <w:left w:val="none" w:sz="0" w:space="0" w:color="auto"/>
        <w:bottom w:val="none" w:sz="0" w:space="0" w:color="auto"/>
        <w:right w:val="none" w:sz="0" w:space="0" w:color="auto"/>
      </w:divBdr>
    </w:div>
    <w:div w:id="287204172">
      <w:bodyDiv w:val="1"/>
      <w:marLeft w:val="0"/>
      <w:marRight w:val="0"/>
      <w:marTop w:val="0"/>
      <w:marBottom w:val="0"/>
      <w:divBdr>
        <w:top w:val="none" w:sz="0" w:space="0" w:color="auto"/>
        <w:left w:val="none" w:sz="0" w:space="0" w:color="auto"/>
        <w:bottom w:val="none" w:sz="0" w:space="0" w:color="auto"/>
        <w:right w:val="none" w:sz="0" w:space="0" w:color="auto"/>
      </w:divBdr>
    </w:div>
    <w:div w:id="344938370">
      <w:bodyDiv w:val="1"/>
      <w:marLeft w:val="0"/>
      <w:marRight w:val="0"/>
      <w:marTop w:val="0"/>
      <w:marBottom w:val="0"/>
      <w:divBdr>
        <w:top w:val="none" w:sz="0" w:space="0" w:color="auto"/>
        <w:left w:val="none" w:sz="0" w:space="0" w:color="auto"/>
        <w:bottom w:val="none" w:sz="0" w:space="0" w:color="auto"/>
        <w:right w:val="none" w:sz="0" w:space="0" w:color="auto"/>
      </w:divBdr>
    </w:div>
    <w:div w:id="384330108">
      <w:bodyDiv w:val="1"/>
      <w:marLeft w:val="0"/>
      <w:marRight w:val="0"/>
      <w:marTop w:val="0"/>
      <w:marBottom w:val="0"/>
      <w:divBdr>
        <w:top w:val="none" w:sz="0" w:space="0" w:color="auto"/>
        <w:left w:val="none" w:sz="0" w:space="0" w:color="auto"/>
        <w:bottom w:val="none" w:sz="0" w:space="0" w:color="auto"/>
        <w:right w:val="none" w:sz="0" w:space="0" w:color="auto"/>
      </w:divBdr>
    </w:div>
    <w:div w:id="447940287">
      <w:bodyDiv w:val="1"/>
      <w:marLeft w:val="0"/>
      <w:marRight w:val="0"/>
      <w:marTop w:val="0"/>
      <w:marBottom w:val="0"/>
      <w:divBdr>
        <w:top w:val="none" w:sz="0" w:space="0" w:color="auto"/>
        <w:left w:val="none" w:sz="0" w:space="0" w:color="auto"/>
        <w:bottom w:val="none" w:sz="0" w:space="0" w:color="auto"/>
        <w:right w:val="none" w:sz="0" w:space="0" w:color="auto"/>
      </w:divBdr>
    </w:div>
    <w:div w:id="519582907">
      <w:bodyDiv w:val="1"/>
      <w:marLeft w:val="0"/>
      <w:marRight w:val="0"/>
      <w:marTop w:val="0"/>
      <w:marBottom w:val="0"/>
      <w:divBdr>
        <w:top w:val="none" w:sz="0" w:space="0" w:color="auto"/>
        <w:left w:val="none" w:sz="0" w:space="0" w:color="auto"/>
        <w:bottom w:val="none" w:sz="0" w:space="0" w:color="auto"/>
        <w:right w:val="none" w:sz="0" w:space="0" w:color="auto"/>
      </w:divBdr>
    </w:div>
    <w:div w:id="606890900">
      <w:bodyDiv w:val="1"/>
      <w:marLeft w:val="0"/>
      <w:marRight w:val="0"/>
      <w:marTop w:val="0"/>
      <w:marBottom w:val="0"/>
      <w:divBdr>
        <w:top w:val="none" w:sz="0" w:space="0" w:color="auto"/>
        <w:left w:val="none" w:sz="0" w:space="0" w:color="auto"/>
        <w:bottom w:val="none" w:sz="0" w:space="0" w:color="auto"/>
        <w:right w:val="none" w:sz="0" w:space="0" w:color="auto"/>
      </w:divBdr>
    </w:div>
    <w:div w:id="632175623">
      <w:bodyDiv w:val="1"/>
      <w:marLeft w:val="0"/>
      <w:marRight w:val="0"/>
      <w:marTop w:val="0"/>
      <w:marBottom w:val="0"/>
      <w:divBdr>
        <w:top w:val="none" w:sz="0" w:space="0" w:color="auto"/>
        <w:left w:val="none" w:sz="0" w:space="0" w:color="auto"/>
        <w:bottom w:val="none" w:sz="0" w:space="0" w:color="auto"/>
        <w:right w:val="none" w:sz="0" w:space="0" w:color="auto"/>
      </w:divBdr>
    </w:div>
    <w:div w:id="659893054">
      <w:bodyDiv w:val="1"/>
      <w:marLeft w:val="0"/>
      <w:marRight w:val="0"/>
      <w:marTop w:val="0"/>
      <w:marBottom w:val="0"/>
      <w:divBdr>
        <w:top w:val="none" w:sz="0" w:space="0" w:color="auto"/>
        <w:left w:val="none" w:sz="0" w:space="0" w:color="auto"/>
        <w:bottom w:val="none" w:sz="0" w:space="0" w:color="auto"/>
        <w:right w:val="none" w:sz="0" w:space="0" w:color="auto"/>
      </w:divBdr>
    </w:div>
    <w:div w:id="796802768">
      <w:bodyDiv w:val="1"/>
      <w:marLeft w:val="0"/>
      <w:marRight w:val="0"/>
      <w:marTop w:val="0"/>
      <w:marBottom w:val="0"/>
      <w:divBdr>
        <w:top w:val="none" w:sz="0" w:space="0" w:color="auto"/>
        <w:left w:val="none" w:sz="0" w:space="0" w:color="auto"/>
        <w:bottom w:val="none" w:sz="0" w:space="0" w:color="auto"/>
        <w:right w:val="none" w:sz="0" w:space="0" w:color="auto"/>
      </w:divBdr>
    </w:div>
    <w:div w:id="850291839">
      <w:bodyDiv w:val="1"/>
      <w:marLeft w:val="0"/>
      <w:marRight w:val="0"/>
      <w:marTop w:val="0"/>
      <w:marBottom w:val="0"/>
      <w:divBdr>
        <w:top w:val="none" w:sz="0" w:space="0" w:color="auto"/>
        <w:left w:val="none" w:sz="0" w:space="0" w:color="auto"/>
        <w:bottom w:val="none" w:sz="0" w:space="0" w:color="auto"/>
        <w:right w:val="none" w:sz="0" w:space="0" w:color="auto"/>
      </w:divBdr>
    </w:div>
    <w:div w:id="895430291">
      <w:bodyDiv w:val="1"/>
      <w:marLeft w:val="0"/>
      <w:marRight w:val="0"/>
      <w:marTop w:val="0"/>
      <w:marBottom w:val="0"/>
      <w:divBdr>
        <w:top w:val="none" w:sz="0" w:space="0" w:color="auto"/>
        <w:left w:val="none" w:sz="0" w:space="0" w:color="auto"/>
        <w:bottom w:val="none" w:sz="0" w:space="0" w:color="auto"/>
        <w:right w:val="none" w:sz="0" w:space="0" w:color="auto"/>
      </w:divBdr>
    </w:div>
    <w:div w:id="908688353">
      <w:bodyDiv w:val="1"/>
      <w:marLeft w:val="0"/>
      <w:marRight w:val="0"/>
      <w:marTop w:val="0"/>
      <w:marBottom w:val="0"/>
      <w:divBdr>
        <w:top w:val="none" w:sz="0" w:space="0" w:color="auto"/>
        <w:left w:val="none" w:sz="0" w:space="0" w:color="auto"/>
        <w:bottom w:val="none" w:sz="0" w:space="0" w:color="auto"/>
        <w:right w:val="none" w:sz="0" w:space="0" w:color="auto"/>
      </w:divBdr>
    </w:div>
    <w:div w:id="925649720">
      <w:bodyDiv w:val="1"/>
      <w:marLeft w:val="0"/>
      <w:marRight w:val="0"/>
      <w:marTop w:val="0"/>
      <w:marBottom w:val="0"/>
      <w:divBdr>
        <w:top w:val="none" w:sz="0" w:space="0" w:color="auto"/>
        <w:left w:val="none" w:sz="0" w:space="0" w:color="auto"/>
        <w:bottom w:val="none" w:sz="0" w:space="0" w:color="auto"/>
        <w:right w:val="none" w:sz="0" w:space="0" w:color="auto"/>
      </w:divBdr>
    </w:div>
    <w:div w:id="945043635">
      <w:bodyDiv w:val="1"/>
      <w:marLeft w:val="0"/>
      <w:marRight w:val="0"/>
      <w:marTop w:val="0"/>
      <w:marBottom w:val="0"/>
      <w:divBdr>
        <w:top w:val="none" w:sz="0" w:space="0" w:color="auto"/>
        <w:left w:val="none" w:sz="0" w:space="0" w:color="auto"/>
        <w:bottom w:val="none" w:sz="0" w:space="0" w:color="auto"/>
        <w:right w:val="none" w:sz="0" w:space="0" w:color="auto"/>
      </w:divBdr>
    </w:div>
    <w:div w:id="1061096117">
      <w:bodyDiv w:val="1"/>
      <w:marLeft w:val="0"/>
      <w:marRight w:val="0"/>
      <w:marTop w:val="0"/>
      <w:marBottom w:val="0"/>
      <w:divBdr>
        <w:top w:val="none" w:sz="0" w:space="0" w:color="auto"/>
        <w:left w:val="none" w:sz="0" w:space="0" w:color="auto"/>
        <w:bottom w:val="none" w:sz="0" w:space="0" w:color="auto"/>
        <w:right w:val="none" w:sz="0" w:space="0" w:color="auto"/>
      </w:divBdr>
    </w:div>
    <w:div w:id="1149204099">
      <w:bodyDiv w:val="1"/>
      <w:marLeft w:val="0"/>
      <w:marRight w:val="0"/>
      <w:marTop w:val="0"/>
      <w:marBottom w:val="0"/>
      <w:divBdr>
        <w:top w:val="none" w:sz="0" w:space="0" w:color="auto"/>
        <w:left w:val="none" w:sz="0" w:space="0" w:color="auto"/>
        <w:bottom w:val="none" w:sz="0" w:space="0" w:color="auto"/>
        <w:right w:val="none" w:sz="0" w:space="0" w:color="auto"/>
      </w:divBdr>
    </w:div>
    <w:div w:id="1181512569">
      <w:bodyDiv w:val="1"/>
      <w:marLeft w:val="0"/>
      <w:marRight w:val="0"/>
      <w:marTop w:val="0"/>
      <w:marBottom w:val="0"/>
      <w:divBdr>
        <w:top w:val="none" w:sz="0" w:space="0" w:color="auto"/>
        <w:left w:val="none" w:sz="0" w:space="0" w:color="auto"/>
        <w:bottom w:val="none" w:sz="0" w:space="0" w:color="auto"/>
        <w:right w:val="none" w:sz="0" w:space="0" w:color="auto"/>
      </w:divBdr>
    </w:div>
    <w:div w:id="1232231925">
      <w:bodyDiv w:val="1"/>
      <w:marLeft w:val="0"/>
      <w:marRight w:val="0"/>
      <w:marTop w:val="0"/>
      <w:marBottom w:val="0"/>
      <w:divBdr>
        <w:top w:val="none" w:sz="0" w:space="0" w:color="auto"/>
        <w:left w:val="none" w:sz="0" w:space="0" w:color="auto"/>
        <w:bottom w:val="none" w:sz="0" w:space="0" w:color="auto"/>
        <w:right w:val="none" w:sz="0" w:space="0" w:color="auto"/>
      </w:divBdr>
    </w:div>
    <w:div w:id="1267811753">
      <w:bodyDiv w:val="1"/>
      <w:marLeft w:val="0"/>
      <w:marRight w:val="0"/>
      <w:marTop w:val="0"/>
      <w:marBottom w:val="0"/>
      <w:divBdr>
        <w:top w:val="none" w:sz="0" w:space="0" w:color="auto"/>
        <w:left w:val="none" w:sz="0" w:space="0" w:color="auto"/>
        <w:bottom w:val="none" w:sz="0" w:space="0" w:color="auto"/>
        <w:right w:val="none" w:sz="0" w:space="0" w:color="auto"/>
      </w:divBdr>
    </w:div>
    <w:div w:id="1268348459">
      <w:bodyDiv w:val="1"/>
      <w:marLeft w:val="0"/>
      <w:marRight w:val="0"/>
      <w:marTop w:val="0"/>
      <w:marBottom w:val="0"/>
      <w:divBdr>
        <w:top w:val="none" w:sz="0" w:space="0" w:color="auto"/>
        <w:left w:val="none" w:sz="0" w:space="0" w:color="auto"/>
        <w:bottom w:val="none" w:sz="0" w:space="0" w:color="auto"/>
        <w:right w:val="none" w:sz="0" w:space="0" w:color="auto"/>
      </w:divBdr>
    </w:div>
    <w:div w:id="1352294119">
      <w:bodyDiv w:val="1"/>
      <w:marLeft w:val="0"/>
      <w:marRight w:val="0"/>
      <w:marTop w:val="0"/>
      <w:marBottom w:val="0"/>
      <w:divBdr>
        <w:top w:val="none" w:sz="0" w:space="0" w:color="auto"/>
        <w:left w:val="none" w:sz="0" w:space="0" w:color="auto"/>
        <w:bottom w:val="none" w:sz="0" w:space="0" w:color="auto"/>
        <w:right w:val="none" w:sz="0" w:space="0" w:color="auto"/>
      </w:divBdr>
    </w:div>
    <w:div w:id="1434401196">
      <w:bodyDiv w:val="1"/>
      <w:marLeft w:val="0"/>
      <w:marRight w:val="0"/>
      <w:marTop w:val="0"/>
      <w:marBottom w:val="0"/>
      <w:divBdr>
        <w:top w:val="none" w:sz="0" w:space="0" w:color="auto"/>
        <w:left w:val="none" w:sz="0" w:space="0" w:color="auto"/>
        <w:bottom w:val="none" w:sz="0" w:space="0" w:color="auto"/>
        <w:right w:val="none" w:sz="0" w:space="0" w:color="auto"/>
      </w:divBdr>
    </w:div>
    <w:div w:id="1473672085">
      <w:bodyDiv w:val="1"/>
      <w:marLeft w:val="0"/>
      <w:marRight w:val="0"/>
      <w:marTop w:val="0"/>
      <w:marBottom w:val="0"/>
      <w:divBdr>
        <w:top w:val="none" w:sz="0" w:space="0" w:color="auto"/>
        <w:left w:val="none" w:sz="0" w:space="0" w:color="auto"/>
        <w:bottom w:val="none" w:sz="0" w:space="0" w:color="auto"/>
        <w:right w:val="none" w:sz="0" w:space="0" w:color="auto"/>
      </w:divBdr>
    </w:div>
    <w:div w:id="1585072253">
      <w:bodyDiv w:val="1"/>
      <w:marLeft w:val="0"/>
      <w:marRight w:val="0"/>
      <w:marTop w:val="0"/>
      <w:marBottom w:val="0"/>
      <w:divBdr>
        <w:top w:val="none" w:sz="0" w:space="0" w:color="auto"/>
        <w:left w:val="none" w:sz="0" w:space="0" w:color="auto"/>
        <w:bottom w:val="none" w:sz="0" w:space="0" w:color="auto"/>
        <w:right w:val="none" w:sz="0" w:space="0" w:color="auto"/>
      </w:divBdr>
    </w:div>
    <w:div w:id="1693264396">
      <w:bodyDiv w:val="1"/>
      <w:marLeft w:val="0"/>
      <w:marRight w:val="0"/>
      <w:marTop w:val="0"/>
      <w:marBottom w:val="0"/>
      <w:divBdr>
        <w:top w:val="none" w:sz="0" w:space="0" w:color="auto"/>
        <w:left w:val="none" w:sz="0" w:space="0" w:color="auto"/>
        <w:bottom w:val="none" w:sz="0" w:space="0" w:color="auto"/>
        <w:right w:val="none" w:sz="0" w:space="0" w:color="auto"/>
      </w:divBdr>
    </w:div>
    <w:div w:id="1701011105">
      <w:bodyDiv w:val="1"/>
      <w:marLeft w:val="0"/>
      <w:marRight w:val="0"/>
      <w:marTop w:val="0"/>
      <w:marBottom w:val="0"/>
      <w:divBdr>
        <w:top w:val="none" w:sz="0" w:space="0" w:color="auto"/>
        <w:left w:val="none" w:sz="0" w:space="0" w:color="auto"/>
        <w:bottom w:val="none" w:sz="0" w:space="0" w:color="auto"/>
        <w:right w:val="none" w:sz="0" w:space="0" w:color="auto"/>
      </w:divBdr>
    </w:div>
    <w:div w:id="1745254740">
      <w:bodyDiv w:val="1"/>
      <w:marLeft w:val="0"/>
      <w:marRight w:val="0"/>
      <w:marTop w:val="0"/>
      <w:marBottom w:val="0"/>
      <w:divBdr>
        <w:top w:val="none" w:sz="0" w:space="0" w:color="auto"/>
        <w:left w:val="none" w:sz="0" w:space="0" w:color="auto"/>
        <w:bottom w:val="none" w:sz="0" w:space="0" w:color="auto"/>
        <w:right w:val="none" w:sz="0" w:space="0" w:color="auto"/>
      </w:divBdr>
    </w:div>
    <w:div w:id="1754887978">
      <w:bodyDiv w:val="1"/>
      <w:marLeft w:val="0"/>
      <w:marRight w:val="0"/>
      <w:marTop w:val="0"/>
      <w:marBottom w:val="0"/>
      <w:divBdr>
        <w:top w:val="none" w:sz="0" w:space="0" w:color="auto"/>
        <w:left w:val="none" w:sz="0" w:space="0" w:color="auto"/>
        <w:bottom w:val="none" w:sz="0" w:space="0" w:color="auto"/>
        <w:right w:val="none" w:sz="0" w:space="0" w:color="auto"/>
      </w:divBdr>
    </w:div>
    <w:div w:id="1813525671">
      <w:bodyDiv w:val="1"/>
      <w:marLeft w:val="0"/>
      <w:marRight w:val="0"/>
      <w:marTop w:val="0"/>
      <w:marBottom w:val="0"/>
      <w:divBdr>
        <w:top w:val="none" w:sz="0" w:space="0" w:color="auto"/>
        <w:left w:val="none" w:sz="0" w:space="0" w:color="auto"/>
        <w:bottom w:val="none" w:sz="0" w:space="0" w:color="auto"/>
        <w:right w:val="none" w:sz="0" w:space="0" w:color="auto"/>
      </w:divBdr>
    </w:div>
    <w:div w:id="1817531854">
      <w:bodyDiv w:val="1"/>
      <w:marLeft w:val="0"/>
      <w:marRight w:val="0"/>
      <w:marTop w:val="0"/>
      <w:marBottom w:val="0"/>
      <w:divBdr>
        <w:top w:val="none" w:sz="0" w:space="0" w:color="auto"/>
        <w:left w:val="none" w:sz="0" w:space="0" w:color="auto"/>
        <w:bottom w:val="none" w:sz="0" w:space="0" w:color="auto"/>
        <w:right w:val="none" w:sz="0" w:space="0" w:color="auto"/>
      </w:divBdr>
    </w:div>
    <w:div w:id="1843623495">
      <w:bodyDiv w:val="1"/>
      <w:marLeft w:val="0"/>
      <w:marRight w:val="0"/>
      <w:marTop w:val="0"/>
      <w:marBottom w:val="0"/>
      <w:divBdr>
        <w:top w:val="none" w:sz="0" w:space="0" w:color="auto"/>
        <w:left w:val="none" w:sz="0" w:space="0" w:color="auto"/>
        <w:bottom w:val="none" w:sz="0" w:space="0" w:color="auto"/>
        <w:right w:val="none" w:sz="0" w:space="0" w:color="auto"/>
      </w:divBdr>
    </w:div>
    <w:div w:id="1866476788">
      <w:bodyDiv w:val="1"/>
      <w:marLeft w:val="0"/>
      <w:marRight w:val="0"/>
      <w:marTop w:val="0"/>
      <w:marBottom w:val="0"/>
      <w:divBdr>
        <w:top w:val="none" w:sz="0" w:space="0" w:color="auto"/>
        <w:left w:val="none" w:sz="0" w:space="0" w:color="auto"/>
        <w:bottom w:val="none" w:sz="0" w:space="0" w:color="auto"/>
        <w:right w:val="none" w:sz="0" w:space="0" w:color="auto"/>
      </w:divBdr>
    </w:div>
    <w:div w:id="1869176890">
      <w:bodyDiv w:val="1"/>
      <w:marLeft w:val="0"/>
      <w:marRight w:val="0"/>
      <w:marTop w:val="0"/>
      <w:marBottom w:val="0"/>
      <w:divBdr>
        <w:top w:val="none" w:sz="0" w:space="0" w:color="auto"/>
        <w:left w:val="none" w:sz="0" w:space="0" w:color="auto"/>
        <w:bottom w:val="none" w:sz="0" w:space="0" w:color="auto"/>
        <w:right w:val="none" w:sz="0" w:space="0" w:color="auto"/>
      </w:divBdr>
    </w:div>
    <w:div w:id="1940412318">
      <w:bodyDiv w:val="1"/>
      <w:marLeft w:val="0"/>
      <w:marRight w:val="0"/>
      <w:marTop w:val="0"/>
      <w:marBottom w:val="0"/>
      <w:divBdr>
        <w:top w:val="none" w:sz="0" w:space="0" w:color="auto"/>
        <w:left w:val="none" w:sz="0" w:space="0" w:color="auto"/>
        <w:bottom w:val="none" w:sz="0" w:space="0" w:color="auto"/>
        <w:right w:val="none" w:sz="0" w:space="0" w:color="auto"/>
      </w:divBdr>
    </w:div>
    <w:div w:id="1949771012">
      <w:bodyDiv w:val="1"/>
      <w:marLeft w:val="0"/>
      <w:marRight w:val="0"/>
      <w:marTop w:val="0"/>
      <w:marBottom w:val="0"/>
      <w:divBdr>
        <w:top w:val="none" w:sz="0" w:space="0" w:color="auto"/>
        <w:left w:val="none" w:sz="0" w:space="0" w:color="auto"/>
        <w:bottom w:val="none" w:sz="0" w:space="0" w:color="auto"/>
        <w:right w:val="none" w:sz="0" w:space="0" w:color="auto"/>
      </w:divBdr>
    </w:div>
    <w:div w:id="1969504230">
      <w:bodyDiv w:val="1"/>
      <w:marLeft w:val="0"/>
      <w:marRight w:val="0"/>
      <w:marTop w:val="0"/>
      <w:marBottom w:val="0"/>
      <w:divBdr>
        <w:top w:val="none" w:sz="0" w:space="0" w:color="auto"/>
        <w:left w:val="none" w:sz="0" w:space="0" w:color="auto"/>
        <w:bottom w:val="none" w:sz="0" w:space="0" w:color="auto"/>
        <w:right w:val="none" w:sz="0" w:space="0" w:color="auto"/>
      </w:divBdr>
    </w:div>
    <w:div w:id="2008626329">
      <w:bodyDiv w:val="1"/>
      <w:marLeft w:val="0"/>
      <w:marRight w:val="0"/>
      <w:marTop w:val="0"/>
      <w:marBottom w:val="0"/>
      <w:divBdr>
        <w:top w:val="none" w:sz="0" w:space="0" w:color="auto"/>
        <w:left w:val="none" w:sz="0" w:space="0" w:color="auto"/>
        <w:bottom w:val="none" w:sz="0" w:space="0" w:color="auto"/>
        <w:right w:val="none" w:sz="0" w:space="0" w:color="auto"/>
      </w:divBdr>
    </w:div>
    <w:div w:id="2025588400">
      <w:bodyDiv w:val="1"/>
      <w:marLeft w:val="0"/>
      <w:marRight w:val="0"/>
      <w:marTop w:val="0"/>
      <w:marBottom w:val="0"/>
      <w:divBdr>
        <w:top w:val="none" w:sz="0" w:space="0" w:color="auto"/>
        <w:left w:val="none" w:sz="0" w:space="0" w:color="auto"/>
        <w:bottom w:val="none" w:sz="0" w:space="0" w:color="auto"/>
        <w:right w:val="none" w:sz="0" w:space="0" w:color="auto"/>
      </w:divBdr>
    </w:div>
    <w:div w:id="2103410105">
      <w:bodyDiv w:val="1"/>
      <w:marLeft w:val="0"/>
      <w:marRight w:val="0"/>
      <w:marTop w:val="0"/>
      <w:marBottom w:val="0"/>
      <w:divBdr>
        <w:top w:val="none" w:sz="0" w:space="0" w:color="auto"/>
        <w:left w:val="none" w:sz="0" w:space="0" w:color="auto"/>
        <w:bottom w:val="none" w:sz="0" w:space="0" w:color="auto"/>
        <w:right w:val="none" w:sz="0" w:space="0" w:color="auto"/>
      </w:divBdr>
    </w:div>
    <w:div w:id="213590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6847D5F-DE55-4639-B9F1-5201A1EDD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TotalTime>
  <Pages>11</Pages>
  <Words>3549</Words>
  <Characters>19520</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23023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Gloria Bello</dc:creator>
  <cp:lastModifiedBy>Claudia Gloria Bello</cp:lastModifiedBy>
  <cp:revision>19</cp:revision>
  <cp:lastPrinted>2022-06-14T19:01:00Z</cp:lastPrinted>
  <dcterms:created xsi:type="dcterms:W3CDTF">2022-04-12T15:25:00Z</dcterms:created>
  <dcterms:modified xsi:type="dcterms:W3CDTF">2022-06-14T19:04:00Z</dcterms:modified>
</cp:coreProperties>
</file>