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177B5B" w:rsidTr="009E2155">
        <w:trPr>
          <w:trHeight w:val="956"/>
        </w:trPr>
        <w:tc>
          <w:tcPr>
            <w:tcW w:w="8992" w:type="dxa"/>
          </w:tcPr>
          <w:p w:rsidR="00545E1E" w:rsidRDefault="00545E1E" w:rsidP="00545E1E">
            <w:pPr>
              <w:spacing w:after="0" w:line="240" w:lineRule="auto"/>
              <w:jc w:val="center"/>
              <w:rPr>
                <w:rFonts w:ascii="Arial" w:hAnsi="Arial" w:cs="Arial"/>
                <w:b/>
                <w:sz w:val="24"/>
                <w:szCs w:val="28"/>
              </w:rPr>
            </w:pPr>
            <w:bookmarkStart w:id="0" w:name="ente"/>
            <w:bookmarkEnd w:id="0"/>
            <w:r>
              <w:rPr>
                <w:rFonts w:ascii="Arial" w:hAnsi="Arial" w:cs="Arial"/>
                <w:b/>
                <w:sz w:val="24"/>
                <w:szCs w:val="28"/>
              </w:rPr>
              <w:t xml:space="preserve">CUENTA PÚBLICA - </w:t>
            </w:r>
            <w:r w:rsidR="00DB27E6" w:rsidRPr="00DB27E6">
              <w:rPr>
                <w:rFonts w:ascii="Arial" w:hAnsi="Arial" w:cs="Arial"/>
                <w:b/>
                <w:sz w:val="24"/>
                <w:szCs w:val="28"/>
              </w:rPr>
              <w:t>CONSOLIDADO D</w:t>
            </w:r>
            <w:r w:rsidR="00DB27E6">
              <w:rPr>
                <w:rFonts w:ascii="Arial" w:hAnsi="Arial" w:cs="Arial"/>
                <w:b/>
                <w:sz w:val="24"/>
                <w:szCs w:val="28"/>
              </w:rPr>
              <w:t>EL SECTOR PARAMUNICIPAL</w:t>
            </w:r>
          </w:p>
          <w:p w:rsidR="00545E1E" w:rsidRPr="00B2492A"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NOTAS A LOS ESTADOS FINANCIEROS</w:t>
            </w:r>
          </w:p>
          <w:p w:rsidR="00545E1E" w:rsidRPr="005056F4"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DE DESGLOSE</w:t>
            </w:r>
          </w:p>
          <w:p w:rsidR="00D6054C" w:rsidRPr="00177B5B" w:rsidRDefault="00545E1E" w:rsidP="00545E1E">
            <w:pPr>
              <w:spacing w:after="0" w:line="240" w:lineRule="auto"/>
              <w:jc w:val="center"/>
              <w:rPr>
                <w:rFonts w:ascii="Times New Roman" w:hAnsi="Times New Roman"/>
                <w:b/>
                <w:i/>
                <w:sz w:val="20"/>
                <w:szCs w:val="20"/>
              </w:rPr>
            </w:pPr>
            <w:bookmarkStart w:id="1" w:name="periodo"/>
            <w:bookmarkEnd w:id="1"/>
            <w:r>
              <w:rPr>
                <w:rFonts w:ascii="Arial" w:hAnsi="Arial" w:cs="Arial"/>
                <w:b/>
                <w:sz w:val="24"/>
                <w:szCs w:val="24"/>
              </w:rPr>
              <w:t>DEL 1 DE ENERO AL 31 DE DICIEMBRE DE 2021</w:t>
            </w:r>
          </w:p>
        </w:tc>
      </w:tr>
    </w:tbl>
    <w:p w:rsidR="000E761D" w:rsidRPr="00177B5B"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6B6696" w:rsidTr="009E2155">
        <w:tc>
          <w:tcPr>
            <w:tcW w:w="8978" w:type="dxa"/>
          </w:tcPr>
          <w:p w:rsidR="000E761D" w:rsidRPr="00177B5B"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2" w:name="cuerpo"/>
            <w:bookmarkEnd w:id="2"/>
          </w:p>
          <w:p w:rsidR="000E761D" w:rsidRPr="00177B5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I.      </w:t>
            </w:r>
            <w:r w:rsidR="000E761D" w:rsidRPr="00177B5B">
              <w:rPr>
                <w:rFonts w:ascii="Times New Roman" w:hAnsi="Times New Roman"/>
                <w:color w:val="000000"/>
                <w:sz w:val="20"/>
                <w:szCs w:val="20"/>
                <w:lang w:eastAsia="es-MX"/>
              </w:rPr>
              <w:t>Información Contable.</w:t>
            </w:r>
          </w:p>
          <w:p w:rsidR="000E761D" w:rsidRPr="00177B5B"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CC6838"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1.</w:t>
            </w:r>
            <w:r w:rsidRPr="00CC6838">
              <w:rPr>
                <w:rFonts w:ascii="Times New Roman" w:hAnsi="Times New Roman"/>
                <w:color w:val="000000"/>
                <w:sz w:val="20"/>
                <w:szCs w:val="20"/>
                <w:lang w:eastAsia="es-MX"/>
              </w:rPr>
              <w:tab/>
              <w:t>Notas al Estado de Situación Financiera.</w:t>
            </w:r>
          </w:p>
          <w:p w:rsidR="000E761D"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B3210C" w:rsidRPr="00CC6838" w:rsidRDefault="00B3210C"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Información consolidada del Municipio de Zapopan y sus organismos paramunicipales, siendo 4; </w:t>
            </w:r>
            <w:r w:rsidRPr="00B3210C">
              <w:rPr>
                <w:rFonts w:ascii="Times New Roman" w:hAnsi="Times New Roman"/>
                <w:color w:val="000000"/>
                <w:sz w:val="20"/>
                <w:szCs w:val="20"/>
                <w:lang w:eastAsia="es-MX"/>
              </w:rPr>
              <w:t>Servicios de Salud</w:t>
            </w:r>
            <w:r>
              <w:rPr>
                <w:rFonts w:ascii="Times New Roman" w:hAnsi="Times New Roman"/>
                <w:color w:val="000000"/>
                <w:sz w:val="20"/>
                <w:szCs w:val="20"/>
                <w:lang w:eastAsia="es-MX"/>
              </w:rPr>
              <w:t xml:space="preserve">, </w:t>
            </w:r>
            <w:r w:rsidRPr="00B3210C">
              <w:rPr>
                <w:rFonts w:ascii="Times New Roman" w:hAnsi="Times New Roman"/>
                <w:color w:val="000000"/>
                <w:sz w:val="20"/>
                <w:szCs w:val="20"/>
                <w:lang w:eastAsia="es-MX"/>
              </w:rPr>
              <w:t>Instituto de la Mujer</w:t>
            </w:r>
            <w:r>
              <w:rPr>
                <w:rFonts w:ascii="Times New Roman" w:hAnsi="Times New Roman"/>
                <w:color w:val="000000"/>
                <w:sz w:val="20"/>
                <w:szCs w:val="20"/>
                <w:lang w:eastAsia="es-MX"/>
              </w:rPr>
              <w:t xml:space="preserve">, </w:t>
            </w:r>
            <w:r w:rsidRPr="00B3210C">
              <w:rPr>
                <w:rFonts w:ascii="Times New Roman" w:hAnsi="Times New Roman"/>
                <w:color w:val="000000"/>
                <w:sz w:val="20"/>
                <w:szCs w:val="20"/>
                <w:lang w:eastAsia="es-MX"/>
              </w:rPr>
              <w:t>Desarrollo Integral de la Familia</w:t>
            </w:r>
            <w:r>
              <w:rPr>
                <w:rFonts w:ascii="Times New Roman" w:hAnsi="Times New Roman"/>
                <w:color w:val="000000"/>
                <w:sz w:val="20"/>
                <w:szCs w:val="20"/>
                <w:lang w:eastAsia="es-MX"/>
              </w:rPr>
              <w:t xml:space="preserve"> y </w:t>
            </w:r>
            <w:r w:rsidRPr="00B3210C">
              <w:rPr>
                <w:rFonts w:ascii="Times New Roman" w:hAnsi="Times New Roman"/>
                <w:color w:val="000000"/>
                <w:sz w:val="20"/>
                <w:szCs w:val="20"/>
                <w:lang w:eastAsia="es-MX"/>
              </w:rPr>
              <w:t>COMUDE Consejo Municipal del Deporte</w:t>
            </w:r>
            <w:r>
              <w:rPr>
                <w:rFonts w:ascii="Times New Roman" w:hAnsi="Times New Roman"/>
                <w:color w:val="000000"/>
                <w:sz w:val="20"/>
                <w:szCs w:val="20"/>
                <w:lang w:eastAsia="es-MX"/>
              </w:rPr>
              <w:t>.</w:t>
            </w:r>
          </w:p>
          <w:p w:rsidR="00E55666" w:rsidRPr="00CC6838"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DB27E6" w:rsidRDefault="000E761D" w:rsidP="00DB27E6">
            <w:pPr>
              <w:pStyle w:val="Prrafodelista"/>
              <w:numPr>
                <w:ilvl w:val="1"/>
                <w:numId w:val="1"/>
              </w:numPr>
              <w:autoSpaceDE w:val="0"/>
              <w:autoSpaceDN w:val="0"/>
              <w:adjustRightInd w:val="0"/>
              <w:spacing w:after="0" w:line="240" w:lineRule="auto"/>
              <w:jc w:val="both"/>
              <w:rPr>
                <w:rFonts w:ascii="Times New Roman" w:hAnsi="Times New Roman"/>
                <w:color w:val="000000"/>
                <w:sz w:val="20"/>
                <w:szCs w:val="20"/>
                <w:lang w:eastAsia="es-MX"/>
              </w:rPr>
            </w:pPr>
            <w:r w:rsidRPr="00DB27E6">
              <w:rPr>
                <w:rFonts w:ascii="Times New Roman" w:hAnsi="Times New Roman"/>
                <w:color w:val="000000"/>
                <w:sz w:val="20"/>
                <w:szCs w:val="20"/>
                <w:lang w:eastAsia="es-MX"/>
              </w:rPr>
              <w:t>Activo</w:t>
            </w:r>
          </w:p>
          <w:p w:rsidR="00DB27E6" w:rsidRDefault="00DB27E6" w:rsidP="00DB27E6">
            <w:pPr>
              <w:autoSpaceDE w:val="0"/>
              <w:autoSpaceDN w:val="0"/>
              <w:adjustRightInd w:val="0"/>
              <w:spacing w:after="0" w:line="240" w:lineRule="auto"/>
              <w:jc w:val="both"/>
              <w:rPr>
                <w:rFonts w:ascii="Times New Roman" w:hAnsi="Times New Roman"/>
                <w:color w:val="000000"/>
                <w:sz w:val="20"/>
                <w:szCs w:val="20"/>
                <w:lang w:eastAsia="es-MX"/>
              </w:rPr>
            </w:pPr>
          </w:p>
          <w:tbl>
            <w:tblPr>
              <w:tblW w:w="6620" w:type="dxa"/>
              <w:jc w:val="center"/>
              <w:tblLayout w:type="fixed"/>
              <w:tblCellMar>
                <w:left w:w="70" w:type="dxa"/>
                <w:right w:w="70" w:type="dxa"/>
              </w:tblCellMar>
              <w:tblLook w:val="04A0" w:firstRow="1" w:lastRow="0" w:firstColumn="1" w:lastColumn="0" w:noHBand="0" w:noVBand="1"/>
            </w:tblPr>
            <w:tblGrid>
              <w:gridCol w:w="3760"/>
              <w:gridCol w:w="1460"/>
              <w:gridCol w:w="1400"/>
            </w:tblGrid>
            <w:tr w:rsidR="00DB27E6" w:rsidRPr="00DB27E6" w:rsidTr="00DB27E6">
              <w:trPr>
                <w:trHeight w:val="22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Efectivo y Equivalentes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1,330,095,367</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752,033,070</w:t>
                  </w:r>
                </w:p>
              </w:tc>
            </w:tr>
            <w:tr w:rsidR="00DB27E6" w:rsidRPr="00DB27E6" w:rsidTr="00DB27E6">
              <w:trPr>
                <w:trHeight w:val="21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Derechos a Recibir Efectivo o Equivalentes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33,600,336</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274,166,957</w:t>
                  </w:r>
                </w:p>
              </w:tc>
            </w:tr>
            <w:tr w:rsidR="00DB27E6" w:rsidRPr="00DB27E6" w:rsidTr="00DB27E6">
              <w:trPr>
                <w:trHeight w:val="18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Derechos a Recibir Bienes o Servicios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161,604,493</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27,412,401</w:t>
                  </w:r>
                </w:p>
              </w:tc>
            </w:tr>
            <w:tr w:rsidR="00DB27E6" w:rsidRPr="00DB27E6" w:rsidTr="00DB27E6">
              <w:trPr>
                <w:trHeight w:val="22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Inventarios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30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Almacenes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16,775,027</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13,229,733</w:t>
                  </w:r>
                </w:p>
              </w:tc>
            </w:tr>
            <w:tr w:rsidR="00DB27E6" w:rsidRPr="00DB27E6" w:rsidTr="00DB27E6">
              <w:trPr>
                <w:trHeight w:val="37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Estimación por Pérdida o Deterioro de Activos Circulantes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30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Otros Activos  Circulantes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bl>
          <w:p w:rsidR="000E761D"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B27E6" w:rsidRPr="00CC6838" w:rsidRDefault="00DB27E6" w:rsidP="00DB27E6">
            <w:pPr>
              <w:autoSpaceDE w:val="0"/>
              <w:autoSpaceDN w:val="0"/>
              <w:adjustRightInd w:val="0"/>
              <w:spacing w:after="0" w:line="240" w:lineRule="auto"/>
              <w:jc w:val="both"/>
              <w:rPr>
                <w:rFonts w:ascii="Times New Roman" w:hAnsi="Times New Roman"/>
                <w:color w:val="000000"/>
                <w:sz w:val="20"/>
                <w:szCs w:val="20"/>
                <w:lang w:eastAsia="es-MX"/>
              </w:rPr>
            </w:pPr>
          </w:p>
          <w:p w:rsidR="00DB27E6" w:rsidRDefault="00DB27E6" w:rsidP="00DB27E6">
            <w:pPr>
              <w:pStyle w:val="Prrafodelista"/>
              <w:numPr>
                <w:ilvl w:val="1"/>
                <w:numId w:val="3"/>
              </w:numPr>
              <w:autoSpaceDE w:val="0"/>
              <w:autoSpaceDN w:val="0"/>
              <w:adjustRightInd w:val="0"/>
              <w:spacing w:after="0" w:line="240" w:lineRule="auto"/>
              <w:jc w:val="both"/>
              <w:rPr>
                <w:rFonts w:ascii="Times New Roman" w:hAnsi="Times New Roman"/>
                <w:color w:val="000000"/>
                <w:sz w:val="20"/>
                <w:szCs w:val="20"/>
                <w:lang w:eastAsia="es-MX"/>
              </w:rPr>
            </w:pPr>
            <w:r w:rsidRPr="00DB27E6">
              <w:rPr>
                <w:rFonts w:ascii="Times New Roman" w:hAnsi="Times New Roman"/>
                <w:color w:val="000000"/>
                <w:sz w:val="20"/>
                <w:szCs w:val="20"/>
                <w:lang w:eastAsia="es-MX"/>
              </w:rPr>
              <w:t>Activo</w:t>
            </w:r>
            <w:r>
              <w:rPr>
                <w:rFonts w:ascii="Times New Roman" w:hAnsi="Times New Roman"/>
                <w:color w:val="000000"/>
                <w:sz w:val="20"/>
                <w:szCs w:val="20"/>
                <w:lang w:eastAsia="es-MX"/>
              </w:rPr>
              <w:t xml:space="preserve"> no circulante</w:t>
            </w:r>
          </w:p>
          <w:p w:rsidR="00DB27E6" w:rsidRDefault="00DB27E6" w:rsidP="00DB27E6">
            <w:pPr>
              <w:autoSpaceDE w:val="0"/>
              <w:autoSpaceDN w:val="0"/>
              <w:adjustRightInd w:val="0"/>
              <w:spacing w:after="0" w:line="240" w:lineRule="auto"/>
              <w:jc w:val="both"/>
              <w:rPr>
                <w:rFonts w:ascii="Times New Roman" w:hAnsi="Times New Roman"/>
                <w:color w:val="000000"/>
                <w:sz w:val="20"/>
                <w:szCs w:val="20"/>
                <w:lang w:eastAsia="es-MX"/>
              </w:rPr>
            </w:pPr>
          </w:p>
          <w:tbl>
            <w:tblPr>
              <w:tblW w:w="6620" w:type="dxa"/>
              <w:jc w:val="center"/>
              <w:tblLayout w:type="fixed"/>
              <w:tblCellMar>
                <w:left w:w="70" w:type="dxa"/>
                <w:right w:w="70" w:type="dxa"/>
              </w:tblCellMar>
              <w:tblLook w:val="04A0" w:firstRow="1" w:lastRow="0" w:firstColumn="1" w:lastColumn="0" w:noHBand="0" w:noVBand="1"/>
            </w:tblPr>
            <w:tblGrid>
              <w:gridCol w:w="3760"/>
              <w:gridCol w:w="1460"/>
              <w:gridCol w:w="1400"/>
            </w:tblGrid>
            <w:tr w:rsidR="00DB27E6" w:rsidRPr="00DB27E6" w:rsidTr="00DB27E6">
              <w:trPr>
                <w:trHeight w:val="18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Inversiones Financieras a Largo Plazo</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126,919,092</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51,323,720</w:t>
                  </w:r>
                </w:p>
              </w:tc>
            </w:tr>
            <w:tr w:rsidR="00DB27E6" w:rsidRPr="00DB27E6" w:rsidTr="00DB27E6">
              <w:trPr>
                <w:trHeight w:val="30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Derechos a Recibir Efectivo o Equivalentes a Largo Plazo</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22,979</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22,979</w:t>
                  </w:r>
                </w:p>
              </w:tc>
            </w:tr>
            <w:tr w:rsidR="00DB27E6" w:rsidRPr="00DB27E6" w:rsidTr="00DB27E6">
              <w:trPr>
                <w:trHeight w:val="34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Bienes Inmuebles, Infraestructura y Construcciones en Proceso</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38,525,846,485</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38,321,394,341</w:t>
                  </w:r>
                </w:p>
              </w:tc>
            </w:tr>
            <w:tr w:rsidR="00DB27E6" w:rsidRPr="00DB27E6" w:rsidTr="00DB27E6">
              <w:trPr>
                <w:trHeight w:val="25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Bienes Muebles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1,381,036,560</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1,898,299,227</w:t>
                  </w:r>
                </w:p>
              </w:tc>
            </w:tr>
            <w:tr w:rsidR="00DB27E6" w:rsidRPr="00DB27E6" w:rsidTr="00DB27E6">
              <w:trPr>
                <w:trHeight w:val="43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Activos Intangibles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131,402,892</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155,468,919</w:t>
                  </w:r>
                </w:p>
              </w:tc>
            </w:tr>
            <w:tr w:rsidR="00DB27E6" w:rsidRPr="00DB27E6" w:rsidTr="00DB27E6">
              <w:trPr>
                <w:trHeight w:val="37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Depreciación, Deterioro y Amortización Acumulada de Bienes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-968,868,975</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-538,479,620</w:t>
                  </w:r>
                </w:p>
              </w:tc>
            </w:tr>
            <w:tr w:rsidR="00DB27E6" w:rsidRPr="00DB27E6" w:rsidTr="00DB27E6">
              <w:trPr>
                <w:trHeight w:val="19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Activos Diferidos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36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Estimación por Pérdida o Deterioro de Activos no Circulantes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-27,204,627</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-23,726,210</w:t>
                  </w:r>
                </w:p>
              </w:tc>
            </w:tr>
            <w:tr w:rsidR="00DB27E6" w:rsidRPr="00DB27E6" w:rsidTr="00DB27E6">
              <w:trPr>
                <w:trHeight w:val="22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Otros Activos no Circulantes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bl>
          <w:p w:rsidR="00D17FF6" w:rsidRPr="008C7259"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  1.2.</w:t>
            </w:r>
            <w:r w:rsidRPr="008C7259">
              <w:rPr>
                <w:rFonts w:ascii="Times New Roman" w:hAnsi="Times New Roman"/>
                <w:b/>
                <w:bCs/>
                <w:color w:val="000000"/>
                <w:sz w:val="20"/>
                <w:szCs w:val="20"/>
                <w:lang w:eastAsia="es-MX"/>
              </w:rPr>
              <w:tab/>
              <w:t>Pasivo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Cuentas por Pagar a Corto Plazo.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B27E6" w:rsidRPr="008C7259" w:rsidRDefault="000E761D" w:rsidP="00B3210C">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Son los compromisos adquiridos con los proveedores y co</w:t>
            </w:r>
            <w:r w:rsidR="00DB27E6">
              <w:rPr>
                <w:rFonts w:ascii="Times New Roman" w:hAnsi="Times New Roman"/>
                <w:color w:val="000000"/>
                <w:sz w:val="20"/>
                <w:szCs w:val="20"/>
                <w:lang w:eastAsia="es-MX"/>
              </w:rPr>
              <w:t xml:space="preserve">ntratistas por las obligaciones </w:t>
            </w:r>
            <w:r w:rsidR="00DB27E6" w:rsidRPr="00DB27E6">
              <w:rPr>
                <w:rFonts w:ascii="Times New Roman" w:hAnsi="Times New Roman"/>
                <w:color w:val="000000"/>
                <w:sz w:val="20"/>
                <w:szCs w:val="20"/>
                <w:lang w:eastAsia="es-MX"/>
              </w:rPr>
              <w:t>cons</w:t>
            </w:r>
            <w:r w:rsidR="00DB27E6">
              <w:rPr>
                <w:rFonts w:ascii="Times New Roman" w:hAnsi="Times New Roman"/>
                <w:color w:val="000000"/>
                <w:sz w:val="20"/>
                <w:szCs w:val="20"/>
                <w:lang w:eastAsia="es-MX"/>
              </w:rPr>
              <w:t>olidadas</w:t>
            </w:r>
            <w:r w:rsidR="00DB27E6" w:rsidRPr="00DB27E6">
              <w:rPr>
                <w:rFonts w:ascii="Times New Roman" w:hAnsi="Times New Roman"/>
                <w:color w:val="000000"/>
                <w:sz w:val="20"/>
                <w:szCs w:val="20"/>
                <w:lang w:eastAsia="es-MX"/>
              </w:rPr>
              <w:t xml:space="preserve"> del sector paramunicipal</w:t>
            </w:r>
            <w:r w:rsidR="00DB27E6">
              <w:rPr>
                <w:rFonts w:ascii="Times New Roman" w:hAnsi="Times New Roman"/>
                <w:color w:val="000000"/>
                <w:sz w:val="20"/>
                <w:szCs w:val="20"/>
                <w:lang w:eastAsia="es-MX"/>
              </w:rPr>
              <w:t xml:space="preserve"> </w:t>
            </w:r>
            <w:r w:rsidRPr="008C7259">
              <w:rPr>
                <w:rFonts w:ascii="Times New Roman" w:hAnsi="Times New Roman"/>
                <w:color w:val="000000"/>
                <w:sz w:val="20"/>
                <w:szCs w:val="20"/>
                <w:lang w:eastAsia="es-MX"/>
              </w:rPr>
              <w:t>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b/>
                <w:bCs/>
                <w:color w:val="000000"/>
                <w:sz w:val="20"/>
                <w:szCs w:val="20"/>
                <w:lang w:eastAsia="es-MX"/>
              </w:rPr>
              <w:lastRenderedPageBreak/>
              <w:t>Pasivos Diferidos a Corto Plazo</w:t>
            </w:r>
            <w:r w:rsidRPr="008C7259">
              <w:rPr>
                <w:rFonts w:ascii="Times New Roman" w:hAnsi="Times New Roman"/>
                <w:color w:val="000000"/>
                <w:sz w:val="20"/>
                <w:szCs w:val="20"/>
                <w:lang w:eastAsia="es-MX"/>
              </w:rPr>
              <w:t>: Se integra de las obligaciones por pagar derivado de operaciones presupuestarias devengadas pendientes de pagar.</w:t>
            </w:r>
          </w:p>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7220" w:type="dxa"/>
              <w:jc w:val="center"/>
              <w:tblLayout w:type="fixed"/>
              <w:tblCellMar>
                <w:left w:w="70" w:type="dxa"/>
                <w:right w:w="70" w:type="dxa"/>
              </w:tblCellMar>
              <w:tblLook w:val="04A0" w:firstRow="1" w:lastRow="0" w:firstColumn="1" w:lastColumn="0" w:noHBand="0" w:noVBand="1"/>
            </w:tblPr>
            <w:tblGrid>
              <w:gridCol w:w="3900"/>
              <w:gridCol w:w="1920"/>
              <w:gridCol w:w="1400"/>
            </w:tblGrid>
            <w:tr w:rsidR="00DB27E6" w:rsidRPr="00DB27E6" w:rsidTr="00DB27E6">
              <w:trPr>
                <w:trHeight w:val="225"/>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Cuentas por Pagar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185,018,440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216,538,819</w:t>
                  </w:r>
                </w:p>
              </w:tc>
            </w:tr>
            <w:tr w:rsidR="00DB27E6" w:rsidRPr="00DB27E6" w:rsidTr="00DB27E6">
              <w:trPr>
                <w:trHeight w:val="210"/>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Documentos por Pagar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180"/>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Porción a Corto Plazo de la Deuda Pública a Largo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225"/>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Títulos y Valores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300"/>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Pasivos Diferidos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3,658,897</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6,031,029</w:t>
                  </w:r>
                </w:p>
              </w:tc>
            </w:tr>
            <w:tr w:rsidR="00DB27E6" w:rsidRPr="00DB27E6" w:rsidTr="00DB27E6">
              <w:trPr>
                <w:trHeight w:val="375"/>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Fondos y Bienes de Terceros en Garantía y/o Administración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-1,284,956</w:t>
                  </w:r>
                </w:p>
              </w:tc>
            </w:tr>
            <w:tr w:rsidR="00DB27E6" w:rsidRPr="00DB27E6" w:rsidTr="00DB27E6">
              <w:trPr>
                <w:trHeight w:val="300"/>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Provisiones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225"/>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Otros Pasivos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137,505,380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71,131,892</w:t>
                  </w:r>
                </w:p>
              </w:tc>
            </w:tr>
          </w:tbl>
          <w:p w:rsidR="002A00BB" w:rsidRPr="00CC6838"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8C7259">
              <w:rPr>
                <w:rFonts w:ascii="Times New Roman" w:hAnsi="Times New Roman"/>
                <w:b/>
                <w:color w:val="000000"/>
                <w:sz w:val="20"/>
                <w:szCs w:val="20"/>
                <w:lang w:eastAsia="es-MX"/>
              </w:rPr>
              <w:t>2.</w:t>
            </w:r>
            <w:r w:rsidRPr="008C7259">
              <w:rPr>
                <w:rFonts w:ascii="Times New Roman" w:hAnsi="Times New Roman"/>
                <w:b/>
                <w:color w:val="000000"/>
                <w:sz w:val="20"/>
                <w:szCs w:val="20"/>
                <w:lang w:eastAsia="es-MX"/>
              </w:rPr>
              <w:tab/>
              <w:t>Notas al Estado de Actividades.</w:t>
            </w:r>
          </w:p>
          <w:p w:rsidR="000E761D" w:rsidRPr="008C7259"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 xml:space="preserve">El desglose de los ingresos y otros beneficios recibidos </w:t>
            </w:r>
            <w:r w:rsidR="00DB27E6">
              <w:rPr>
                <w:rFonts w:ascii="Times New Roman" w:hAnsi="Times New Roman"/>
                <w:color w:val="000000"/>
                <w:sz w:val="20"/>
                <w:szCs w:val="20"/>
                <w:lang w:eastAsia="es-MX"/>
              </w:rPr>
              <w:t xml:space="preserve">obligaciones </w:t>
            </w:r>
            <w:r w:rsidR="00DB27E6" w:rsidRPr="00DB27E6">
              <w:rPr>
                <w:rFonts w:ascii="Times New Roman" w:hAnsi="Times New Roman"/>
                <w:color w:val="000000"/>
                <w:sz w:val="20"/>
                <w:szCs w:val="20"/>
                <w:lang w:eastAsia="es-MX"/>
              </w:rPr>
              <w:t>cons</w:t>
            </w:r>
            <w:r w:rsidR="00DB27E6">
              <w:rPr>
                <w:rFonts w:ascii="Times New Roman" w:hAnsi="Times New Roman"/>
                <w:color w:val="000000"/>
                <w:sz w:val="20"/>
                <w:szCs w:val="20"/>
                <w:lang w:eastAsia="es-MX"/>
              </w:rPr>
              <w:t>olidadas</w:t>
            </w:r>
            <w:r w:rsidR="00DB27E6" w:rsidRPr="00DB27E6">
              <w:rPr>
                <w:rFonts w:ascii="Times New Roman" w:hAnsi="Times New Roman"/>
                <w:color w:val="000000"/>
                <w:sz w:val="20"/>
                <w:szCs w:val="20"/>
                <w:lang w:eastAsia="es-MX"/>
              </w:rPr>
              <w:t xml:space="preserve"> del sector paramunicipal</w:t>
            </w:r>
            <w:r w:rsidR="00DB27E6">
              <w:rPr>
                <w:rFonts w:ascii="Times New Roman" w:hAnsi="Times New Roman"/>
                <w:color w:val="000000"/>
                <w:sz w:val="20"/>
                <w:szCs w:val="20"/>
                <w:lang w:eastAsia="es-MX"/>
              </w:rPr>
              <w:t xml:space="preserve"> </w:t>
            </w:r>
            <w:r w:rsidRPr="008C7259">
              <w:rPr>
                <w:rFonts w:ascii="Times New Roman" w:hAnsi="Times New Roman"/>
                <w:color w:val="000000"/>
                <w:sz w:val="20"/>
                <w:szCs w:val="20"/>
                <w:lang w:eastAsia="es-MX"/>
              </w:rPr>
              <w:t>se presenta por rubro, tipo y clase en el propio Estado de Actividades.</w:t>
            </w:r>
          </w:p>
          <w:p w:rsidR="00DB27E6" w:rsidRPr="008C7259" w:rsidRDefault="00DB27E6" w:rsidP="009E2155">
            <w:pPr>
              <w:autoSpaceDE w:val="0"/>
              <w:autoSpaceDN w:val="0"/>
              <w:adjustRightInd w:val="0"/>
              <w:spacing w:after="0" w:line="240" w:lineRule="auto"/>
              <w:jc w:val="both"/>
              <w:rPr>
                <w:rFonts w:ascii="Times New Roman" w:hAnsi="Times New Roman"/>
                <w:color w:val="000000"/>
                <w:sz w:val="20"/>
                <w:szCs w:val="20"/>
                <w:lang w:eastAsia="es-MX"/>
              </w:rPr>
            </w:pPr>
          </w:p>
          <w:p w:rsidR="00CC399D" w:rsidRPr="00DB27E6" w:rsidRDefault="00DB27E6" w:rsidP="00DB27E6">
            <w:pPr>
              <w:autoSpaceDE w:val="0"/>
              <w:autoSpaceDN w:val="0"/>
              <w:adjustRightInd w:val="0"/>
              <w:spacing w:after="0" w:line="240" w:lineRule="auto"/>
              <w:jc w:val="both"/>
              <w:rPr>
                <w:rFonts w:ascii="Times New Roman" w:hAnsi="Times New Roman"/>
                <w:b/>
                <w:bCs/>
                <w:color w:val="000000"/>
                <w:sz w:val="20"/>
                <w:szCs w:val="20"/>
                <w:lang w:eastAsia="es-MX"/>
              </w:rPr>
            </w:pPr>
            <w:r>
              <w:rPr>
                <w:rFonts w:ascii="Times New Roman" w:hAnsi="Times New Roman"/>
                <w:b/>
                <w:bCs/>
                <w:color w:val="000000"/>
                <w:sz w:val="20"/>
                <w:szCs w:val="20"/>
                <w:lang w:eastAsia="es-MX"/>
              </w:rPr>
              <w:t xml:space="preserve">2.1 </w:t>
            </w:r>
            <w:r w:rsidR="000E761D" w:rsidRPr="008C7259">
              <w:rPr>
                <w:rFonts w:ascii="Times New Roman" w:hAnsi="Times New Roman"/>
                <w:b/>
                <w:bCs/>
                <w:color w:val="000000"/>
                <w:sz w:val="20"/>
                <w:szCs w:val="20"/>
                <w:lang w:eastAsia="es-MX"/>
              </w:rPr>
              <w:t xml:space="preserve">Ingresos y otros beneficios </w:t>
            </w:r>
          </w:p>
          <w:tbl>
            <w:tblPr>
              <w:tblW w:w="7700" w:type="dxa"/>
              <w:jc w:val="center"/>
              <w:tblLayout w:type="fixed"/>
              <w:tblCellMar>
                <w:left w:w="70" w:type="dxa"/>
                <w:right w:w="70" w:type="dxa"/>
              </w:tblCellMar>
              <w:tblLook w:val="04A0" w:firstRow="1" w:lastRow="0" w:firstColumn="1" w:lastColumn="0" w:noHBand="0" w:noVBand="1"/>
            </w:tblPr>
            <w:tblGrid>
              <w:gridCol w:w="860"/>
              <w:gridCol w:w="3740"/>
              <w:gridCol w:w="1900"/>
              <w:gridCol w:w="1200"/>
            </w:tblGrid>
            <w:tr w:rsidR="00DB27E6" w:rsidRPr="00DB27E6" w:rsidTr="00DB27E6">
              <w:trPr>
                <w:trHeight w:val="300"/>
                <w:jc w:val="center"/>
              </w:trPr>
              <w:tc>
                <w:tcPr>
                  <w:tcW w:w="4600" w:type="dxa"/>
                  <w:gridSpan w:val="2"/>
                  <w:shd w:val="clear" w:color="000000" w:fill="FFFFFF"/>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Ingresos de la Gestión</w:t>
                  </w:r>
                </w:p>
              </w:tc>
              <w:tc>
                <w:tcPr>
                  <w:tcW w:w="19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4,238,477,578</w:t>
                  </w:r>
                </w:p>
              </w:tc>
              <w:tc>
                <w:tcPr>
                  <w:tcW w:w="12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3,330,630,451</w:t>
                  </w:r>
                </w:p>
              </w:tc>
            </w:tr>
            <w:tr w:rsidR="00DB27E6" w:rsidRPr="00DB27E6" w:rsidTr="00DB27E6">
              <w:trPr>
                <w:trHeight w:val="18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Impuestos</w:t>
                  </w:r>
                </w:p>
              </w:tc>
              <w:tc>
                <w:tcPr>
                  <w:tcW w:w="19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3,065,922,103</w:t>
                  </w:r>
                </w:p>
              </w:tc>
              <w:tc>
                <w:tcPr>
                  <w:tcW w:w="12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2,452,247,584</w:t>
                  </w:r>
                </w:p>
              </w:tc>
            </w:tr>
            <w:tr w:rsidR="00DB27E6" w:rsidRPr="00DB27E6" w:rsidTr="00DB27E6">
              <w:trPr>
                <w:trHeight w:val="22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xml:space="preserve">Cuotas y Aportaciones de Seguridad Social </w:t>
                  </w:r>
                </w:p>
              </w:tc>
              <w:tc>
                <w:tcPr>
                  <w:tcW w:w="19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2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24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Contribuciones de Mejoras</w:t>
                  </w:r>
                </w:p>
              </w:tc>
              <w:tc>
                <w:tcPr>
                  <w:tcW w:w="19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119,878,397</w:t>
                  </w:r>
                </w:p>
              </w:tc>
              <w:tc>
                <w:tcPr>
                  <w:tcW w:w="12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101,822,473</w:t>
                  </w:r>
                </w:p>
              </w:tc>
            </w:tr>
            <w:tr w:rsidR="00DB27E6" w:rsidRPr="00DB27E6" w:rsidTr="00DB27E6">
              <w:trPr>
                <w:trHeight w:val="25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Derechos</w:t>
                  </w:r>
                </w:p>
              </w:tc>
              <w:tc>
                <w:tcPr>
                  <w:tcW w:w="19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723,609,621</w:t>
                  </w:r>
                </w:p>
              </w:tc>
              <w:tc>
                <w:tcPr>
                  <w:tcW w:w="12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500,350,829</w:t>
                  </w:r>
                </w:p>
              </w:tc>
            </w:tr>
            <w:tr w:rsidR="00DB27E6" w:rsidRPr="00DB27E6" w:rsidTr="00DB27E6">
              <w:trPr>
                <w:trHeight w:val="16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Productos de Tipo Corriente</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125,765,803</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92,409,662</w:t>
                  </w:r>
                </w:p>
              </w:tc>
            </w:tr>
            <w:tr w:rsidR="00DB27E6" w:rsidRPr="00DB27E6" w:rsidTr="00DB27E6">
              <w:trPr>
                <w:trHeight w:val="12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10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Aprovechamientos de Tipo Corriente</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100,799,590</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83,336,126</w:t>
                  </w:r>
                </w:p>
              </w:tc>
            </w:tr>
            <w:tr w:rsidR="00DB27E6" w:rsidRPr="00DB27E6" w:rsidTr="00DB27E6">
              <w:trPr>
                <w:trHeight w:val="16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15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Ingresos por Venta de Bienes y Servicios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102,502,062</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100,463,776</w:t>
                  </w:r>
                </w:p>
              </w:tc>
            </w:tr>
            <w:tr w:rsidR="00DB27E6" w:rsidRPr="00DB27E6" w:rsidTr="00DB27E6">
              <w:trPr>
                <w:trHeight w:val="16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13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Ingresos no Comprendidos en las Fracciones de la Ley de Ingresos Causados en Ejercicios Fiscales Anteriores Pendientes de Liquidación o Pago</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22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18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230"/>
                <w:jc w:val="center"/>
              </w:trPr>
              <w:tc>
                <w:tcPr>
                  <w:tcW w:w="4600" w:type="dxa"/>
                  <w:gridSpan w:val="2"/>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Participaciones, Aportaciones, Transferencias, Asignaciones, Subsidios y Otras Ayudas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5,561,783,491</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5,287,321,923</w:t>
                  </w:r>
                </w:p>
              </w:tc>
            </w:tr>
            <w:tr w:rsidR="00DB27E6" w:rsidRPr="00DB27E6" w:rsidTr="00DB27E6">
              <w:trPr>
                <w:trHeight w:val="230"/>
                <w:jc w:val="center"/>
              </w:trPr>
              <w:tc>
                <w:tcPr>
                  <w:tcW w:w="4600" w:type="dxa"/>
                  <w:gridSpan w:val="2"/>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r>
            <w:tr w:rsidR="00DB27E6" w:rsidRPr="00DB27E6" w:rsidTr="00DB27E6">
              <w:trPr>
                <w:trHeight w:val="15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Participaciones y Aportaciones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4,496,188,166</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4,288,653,906</w:t>
                  </w:r>
                </w:p>
              </w:tc>
            </w:tr>
            <w:tr w:rsidR="00DB27E6" w:rsidRPr="00DB27E6" w:rsidTr="00DB27E6">
              <w:trPr>
                <w:trHeight w:val="12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16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bottom"/>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Transferencias, Asignaciones, Subsidios y Otras Ayudas</w:t>
                  </w:r>
                </w:p>
              </w:tc>
              <w:tc>
                <w:tcPr>
                  <w:tcW w:w="1900" w:type="dxa"/>
                  <w:vMerge w:val="restart"/>
                  <w:shd w:val="clear" w:color="000000" w:fill="FFFFFF"/>
                  <w:vAlign w:val="bottom"/>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1,065,595,324</w:t>
                  </w:r>
                </w:p>
              </w:tc>
              <w:tc>
                <w:tcPr>
                  <w:tcW w:w="1200" w:type="dxa"/>
                  <w:vMerge w:val="restart"/>
                  <w:shd w:val="clear" w:color="000000" w:fill="FFFFFF"/>
                  <w:vAlign w:val="bottom"/>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998,668,017</w:t>
                  </w:r>
                </w:p>
              </w:tc>
            </w:tr>
            <w:tr w:rsidR="00DB27E6" w:rsidRPr="00DB27E6" w:rsidTr="00DB27E6">
              <w:trPr>
                <w:trHeight w:val="18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230"/>
                <w:jc w:val="center"/>
              </w:trPr>
              <w:tc>
                <w:tcPr>
                  <w:tcW w:w="4600" w:type="dxa"/>
                  <w:gridSpan w:val="2"/>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Otros Ingresos y Beneficios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520,819,912</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1,048,289,184</w:t>
                  </w:r>
                </w:p>
              </w:tc>
            </w:tr>
            <w:tr w:rsidR="00DB27E6" w:rsidRPr="00DB27E6" w:rsidTr="00DB27E6">
              <w:trPr>
                <w:trHeight w:val="230"/>
                <w:jc w:val="center"/>
              </w:trPr>
              <w:tc>
                <w:tcPr>
                  <w:tcW w:w="4600" w:type="dxa"/>
                  <w:gridSpan w:val="2"/>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r>
            <w:tr w:rsidR="00DB27E6" w:rsidRPr="00DB27E6" w:rsidTr="00DB27E6">
              <w:trPr>
                <w:trHeight w:val="22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Ingresos Financieros</w:t>
                  </w:r>
                </w:p>
              </w:tc>
              <w:tc>
                <w:tcPr>
                  <w:tcW w:w="19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4,515,045</w:t>
                  </w:r>
                </w:p>
              </w:tc>
              <w:tc>
                <w:tcPr>
                  <w:tcW w:w="12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4,025,381</w:t>
                  </w:r>
                </w:p>
              </w:tc>
            </w:tr>
            <w:tr w:rsidR="00DB27E6" w:rsidRPr="00DB27E6" w:rsidTr="00DB27E6">
              <w:trPr>
                <w:trHeight w:val="13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Incremento por Variación de Inventarios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10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18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Disminución del Exceso de Estimaciones por Pérdida o Deterioro u Obsolescencia</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19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6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Disminución del Exceso de Provisiones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15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12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Otros Ingresos y Beneficios Varios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516,304,867</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1,044,263,803</w:t>
                  </w:r>
                </w:p>
              </w:tc>
            </w:tr>
            <w:tr w:rsidR="00DB27E6" w:rsidRPr="00DB27E6" w:rsidTr="00DB27E6">
              <w:trPr>
                <w:trHeight w:val="16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74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B27E6">
              <w:trPr>
                <w:trHeight w:val="230"/>
                <w:jc w:val="center"/>
              </w:trPr>
              <w:tc>
                <w:tcPr>
                  <w:tcW w:w="4600" w:type="dxa"/>
                  <w:gridSpan w:val="2"/>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Total de Ingresos y Otros Beneficios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10,321,080,981</w:t>
                  </w:r>
                </w:p>
              </w:tc>
              <w:tc>
                <w:tcPr>
                  <w:tcW w:w="12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9,666,241,55</w:t>
                  </w:r>
                  <w:r w:rsidRPr="00DB27E6">
                    <w:rPr>
                      <w:rFonts w:ascii="Times New Roman" w:eastAsia="Times New Roman" w:hAnsi="Times New Roman"/>
                      <w:b/>
                      <w:bCs/>
                      <w:color w:val="000000"/>
                      <w:sz w:val="20"/>
                      <w:szCs w:val="20"/>
                      <w:lang w:eastAsia="es-MX"/>
                    </w:rPr>
                    <w:lastRenderedPageBreak/>
                    <w:t>8</w:t>
                  </w:r>
                </w:p>
              </w:tc>
            </w:tr>
            <w:tr w:rsidR="00DB27E6" w:rsidRPr="00DB27E6" w:rsidTr="00DB27E6">
              <w:trPr>
                <w:trHeight w:val="230"/>
                <w:jc w:val="center"/>
              </w:trPr>
              <w:tc>
                <w:tcPr>
                  <w:tcW w:w="4600" w:type="dxa"/>
                  <w:gridSpan w:val="2"/>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200"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r>
          </w:tbl>
          <w:p w:rsidR="000E761D" w:rsidRPr="008C7259"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bookmarkStart w:id="3" w:name="_GoBack"/>
            <w:bookmarkEnd w:id="3"/>
            <w:r w:rsidRPr="008C7259">
              <w:rPr>
                <w:rFonts w:ascii="Times New Roman" w:hAnsi="Times New Roman"/>
                <w:bCs/>
                <w:color w:val="000000"/>
                <w:sz w:val="20"/>
                <w:szCs w:val="20"/>
                <w:lang w:eastAsia="es-MX"/>
              </w:rPr>
              <w:lastRenderedPageBreak/>
              <w:t>El desglose de los gastos y otras pérdidas realizadas por el municipio se presenta por grupo, rubro, cuenta y subcuenta en el propio estado de actividades.</w:t>
            </w:r>
          </w:p>
          <w:p w:rsidR="002A4D02" w:rsidRPr="008C7259" w:rsidRDefault="002A4D02" w:rsidP="00B3210C">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2.2.</w:t>
            </w:r>
            <w:r w:rsidRPr="008C7259">
              <w:rPr>
                <w:rFonts w:ascii="Times New Roman" w:hAnsi="Times New Roman"/>
                <w:b/>
                <w:bCs/>
                <w:color w:val="000000"/>
                <w:sz w:val="20"/>
                <w:szCs w:val="20"/>
                <w:lang w:eastAsia="es-MX"/>
              </w:rPr>
              <w:tab/>
              <w:t>Gastos y Otras Pérdidas</w:t>
            </w:r>
          </w:p>
          <w:p w:rsidR="00E85F4B" w:rsidRPr="008C7259" w:rsidRDefault="00E85F4B" w:rsidP="00E55666">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320" w:type="dxa"/>
              <w:jc w:val="center"/>
              <w:tblLayout w:type="fixed"/>
              <w:tblCellMar>
                <w:left w:w="70" w:type="dxa"/>
                <w:right w:w="70" w:type="dxa"/>
              </w:tblCellMar>
              <w:tblLook w:val="04A0" w:firstRow="1" w:lastRow="0" w:firstColumn="1" w:lastColumn="0" w:noHBand="0" w:noVBand="1"/>
            </w:tblPr>
            <w:tblGrid>
              <w:gridCol w:w="1200"/>
              <w:gridCol w:w="3720"/>
              <w:gridCol w:w="2200"/>
              <w:gridCol w:w="1200"/>
            </w:tblGrid>
            <w:tr w:rsidR="00B3210C" w:rsidRPr="00B3210C" w:rsidTr="00B3210C">
              <w:trPr>
                <w:trHeight w:val="300"/>
                <w:jc w:val="center"/>
              </w:trPr>
              <w:tc>
                <w:tcPr>
                  <w:tcW w:w="4920" w:type="dxa"/>
                  <w:gridSpan w:val="2"/>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Gastos de  Funcionamiento</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6,603,190,973</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6,015,940,045</w:t>
                  </w:r>
                </w:p>
              </w:tc>
            </w:tr>
            <w:tr w:rsidR="00B3210C" w:rsidRPr="00B3210C" w:rsidTr="00B3210C">
              <w:trPr>
                <w:trHeight w:val="18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Servicios Personales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4,549,415,797</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4,381,332,235</w:t>
                  </w:r>
                </w:p>
              </w:tc>
            </w:tr>
            <w:tr w:rsidR="00B3210C" w:rsidRPr="00B3210C" w:rsidTr="00B3210C">
              <w:trPr>
                <w:trHeight w:val="22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Materiales y Suministros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606,805,327</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446,402,453</w:t>
                  </w:r>
                </w:p>
              </w:tc>
            </w:tr>
            <w:tr w:rsidR="00B3210C" w:rsidRPr="00B3210C" w:rsidTr="00B3210C">
              <w:trPr>
                <w:trHeight w:val="24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Servicios Generales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1,446,969,848</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1,188,205,357</w:t>
                  </w:r>
                </w:p>
              </w:tc>
            </w:tr>
            <w:tr w:rsidR="00B3210C" w:rsidRPr="00B3210C" w:rsidTr="00B3210C">
              <w:trPr>
                <w:trHeight w:val="255"/>
                <w:jc w:val="center"/>
              </w:trPr>
              <w:tc>
                <w:tcPr>
                  <w:tcW w:w="4920" w:type="dxa"/>
                  <w:gridSpan w:val="2"/>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Transferencia, Asignaciones, Subsidios y Otras Ayudas</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1,651,211,869</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1,360,208,223</w:t>
                  </w:r>
                </w:p>
              </w:tc>
            </w:tr>
            <w:tr w:rsidR="00B3210C" w:rsidRPr="00B3210C" w:rsidTr="00B3210C">
              <w:trPr>
                <w:trHeight w:val="230"/>
                <w:jc w:val="center"/>
              </w:trPr>
              <w:tc>
                <w:tcPr>
                  <w:tcW w:w="4920" w:type="dxa"/>
                  <w:gridSpan w:val="2"/>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r>
            <w:tr w:rsidR="00B3210C" w:rsidRPr="00B3210C" w:rsidTr="00B3210C">
              <w:trPr>
                <w:trHeight w:val="12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Internas y Asignaciones al Sector Público</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51,905,350</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25,117,890</w:t>
                  </w:r>
                </w:p>
              </w:tc>
            </w:tr>
            <w:tr w:rsidR="00B3210C" w:rsidRPr="00B3210C" w:rsidTr="00B3210C">
              <w:trPr>
                <w:trHeight w:val="10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16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al Resto del Sector Público</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1,291,926,306</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1,015,499,397</w:t>
                  </w:r>
                </w:p>
              </w:tc>
            </w:tr>
            <w:tr w:rsidR="00B3210C" w:rsidRPr="00B3210C" w:rsidTr="00B3210C">
              <w:trPr>
                <w:trHeight w:val="15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16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Subsidios y Subvenciones</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10,982,400</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10,430,755</w:t>
                  </w:r>
                </w:p>
              </w:tc>
            </w:tr>
            <w:tr w:rsidR="00B3210C" w:rsidRPr="00B3210C" w:rsidTr="00B3210C">
              <w:trPr>
                <w:trHeight w:val="13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22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Ayudas Sociales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227,752,389</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190,618,203</w:t>
                  </w:r>
                </w:p>
              </w:tc>
            </w:tr>
            <w:tr w:rsidR="00B3210C" w:rsidRPr="00B3210C" w:rsidTr="00B3210C">
              <w:trPr>
                <w:trHeight w:val="18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Pensiones y Jubilaciones</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15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21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a Fideicomisos, Mandatos y Contratos Análogos</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1,541,614</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15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12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a la Seguridad Social</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16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18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Donativos</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67,103,811</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118,541,978</w:t>
                  </w:r>
                </w:p>
              </w:tc>
            </w:tr>
            <w:tr w:rsidR="00B3210C" w:rsidRPr="00B3210C" w:rsidTr="00B3210C">
              <w:trPr>
                <w:trHeight w:val="9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22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al Exterior</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r>
            <w:tr w:rsidR="00B3210C" w:rsidRPr="00B3210C" w:rsidTr="00B3210C">
              <w:trPr>
                <w:trHeight w:val="230"/>
                <w:jc w:val="center"/>
              </w:trPr>
              <w:tc>
                <w:tcPr>
                  <w:tcW w:w="4920" w:type="dxa"/>
                  <w:gridSpan w:val="2"/>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Participaciones y Aportaciones</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0</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0</w:t>
                  </w:r>
                </w:p>
              </w:tc>
            </w:tr>
            <w:tr w:rsidR="00B3210C" w:rsidRPr="00B3210C" w:rsidTr="00B3210C">
              <w:trPr>
                <w:trHeight w:val="230"/>
                <w:jc w:val="center"/>
              </w:trPr>
              <w:tc>
                <w:tcPr>
                  <w:tcW w:w="4920" w:type="dxa"/>
                  <w:gridSpan w:val="2"/>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r>
            <w:tr w:rsidR="00B3210C" w:rsidRPr="00B3210C" w:rsidTr="00B3210C">
              <w:trPr>
                <w:trHeight w:val="10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Participaciones</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18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19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Aportaciones</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6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15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Convenios</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12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230"/>
                <w:jc w:val="center"/>
              </w:trPr>
              <w:tc>
                <w:tcPr>
                  <w:tcW w:w="4920" w:type="dxa"/>
                  <w:gridSpan w:val="2"/>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Intereses, Comisiones y Otros Gastos de la Deuda Pública</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82,145,849</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72,868,645</w:t>
                  </w:r>
                </w:p>
              </w:tc>
            </w:tr>
            <w:tr w:rsidR="00B3210C" w:rsidRPr="00B3210C" w:rsidTr="00B3210C">
              <w:trPr>
                <w:trHeight w:val="230"/>
                <w:jc w:val="center"/>
              </w:trPr>
              <w:tc>
                <w:tcPr>
                  <w:tcW w:w="4920" w:type="dxa"/>
                  <w:gridSpan w:val="2"/>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r>
            <w:tr w:rsidR="00B3210C" w:rsidRPr="00B3210C" w:rsidTr="00B3210C">
              <w:trPr>
                <w:trHeight w:val="9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Intereses de la Deuda Pública</w:t>
                  </w:r>
                </w:p>
              </w:tc>
              <w:tc>
                <w:tcPr>
                  <w:tcW w:w="2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63,095,927</w:t>
                  </w:r>
                </w:p>
              </w:tc>
              <w:tc>
                <w:tcPr>
                  <w:tcW w:w="1200"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62,561,198</w:t>
                  </w:r>
                </w:p>
              </w:tc>
            </w:tr>
            <w:tr w:rsidR="00B3210C" w:rsidRPr="00B3210C" w:rsidTr="00B3210C">
              <w:trPr>
                <w:trHeight w:val="18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2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200"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B3210C">
              <w:trPr>
                <w:trHeight w:val="21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Comisiones de la Deuda Pública</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24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Gastos de la Deuda Pública</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1,342,008</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1,298,389</w:t>
                  </w:r>
                </w:p>
              </w:tc>
            </w:tr>
            <w:tr w:rsidR="00B3210C" w:rsidRPr="00B3210C" w:rsidTr="00B3210C">
              <w:trPr>
                <w:trHeight w:val="21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Costo por Coberturas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17,707,913</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9,009,058</w:t>
                  </w:r>
                </w:p>
              </w:tc>
            </w:tr>
            <w:tr w:rsidR="00B3210C" w:rsidRPr="00B3210C" w:rsidTr="00B3210C">
              <w:trPr>
                <w:trHeight w:val="22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Apoyos Financieros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225"/>
                <w:jc w:val="center"/>
              </w:trPr>
              <w:tc>
                <w:tcPr>
                  <w:tcW w:w="4920" w:type="dxa"/>
                  <w:gridSpan w:val="2"/>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Otros Gastos y Pérdidas Extraordinarias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763,003,273</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1,184,374,880</w:t>
                  </w:r>
                </w:p>
              </w:tc>
            </w:tr>
            <w:tr w:rsidR="00B3210C" w:rsidRPr="00B3210C" w:rsidTr="00B3210C">
              <w:trPr>
                <w:trHeight w:val="40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Estimaciones, Depreciaciones, Deterioros, Obsolescencia y Amortizaciones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193,376,296</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155,122,791</w:t>
                  </w:r>
                </w:p>
              </w:tc>
            </w:tr>
            <w:tr w:rsidR="00B3210C" w:rsidRPr="00B3210C" w:rsidTr="00B3210C">
              <w:trPr>
                <w:trHeight w:val="27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Provisiones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21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Disminución de Inventarios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36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Aumento por Insuficiencia de Estimaciones por Pérdida o Deterioro y Obsolescencia</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30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lastRenderedPageBreak/>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Aumento por Insuficiencia de Provisiones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B3210C">
              <w:trPr>
                <w:trHeight w:val="300"/>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Otros Gastos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569,626,977</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1,029,252,090</w:t>
                  </w:r>
                </w:p>
              </w:tc>
            </w:tr>
            <w:tr w:rsidR="00B3210C" w:rsidRPr="00B3210C" w:rsidTr="00B3210C">
              <w:trPr>
                <w:trHeight w:val="225"/>
                <w:jc w:val="center"/>
              </w:trPr>
              <w:tc>
                <w:tcPr>
                  <w:tcW w:w="4920" w:type="dxa"/>
                  <w:gridSpan w:val="2"/>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Inversión Pública</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979,681,840</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565,548,199</w:t>
                  </w:r>
                </w:p>
              </w:tc>
            </w:tr>
            <w:tr w:rsidR="00B3210C" w:rsidRPr="00B3210C" w:rsidTr="00B3210C">
              <w:trPr>
                <w:trHeight w:val="195"/>
                <w:jc w:val="center"/>
              </w:trPr>
              <w:tc>
                <w:tcPr>
                  <w:tcW w:w="1200"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0"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Inversión Pública no Capitalizable</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979,681,840</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565,548,199</w:t>
                  </w:r>
                </w:p>
              </w:tc>
            </w:tr>
            <w:tr w:rsidR="00B3210C" w:rsidRPr="00B3210C" w:rsidTr="00B3210C">
              <w:trPr>
                <w:trHeight w:val="300"/>
                <w:jc w:val="center"/>
              </w:trPr>
              <w:tc>
                <w:tcPr>
                  <w:tcW w:w="4920" w:type="dxa"/>
                  <w:gridSpan w:val="2"/>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Total de Gastos y Otras Pérdidas</w:t>
                  </w:r>
                </w:p>
              </w:tc>
              <w:tc>
                <w:tcPr>
                  <w:tcW w:w="2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10,079,233,803</w:t>
                  </w:r>
                </w:p>
              </w:tc>
              <w:tc>
                <w:tcPr>
                  <w:tcW w:w="1200"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9,198,939,992</w:t>
                  </w:r>
                </w:p>
              </w:tc>
            </w:tr>
          </w:tbl>
          <w:p w:rsidR="00B3210C" w:rsidRDefault="00B3210C"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5566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Las Notas descritas son parte integral de los Estados Financieros del M</w:t>
            </w:r>
            <w:r w:rsidR="005D0F11" w:rsidRPr="00177B5B">
              <w:rPr>
                <w:rFonts w:ascii="Times New Roman" w:hAnsi="Times New Roman"/>
                <w:color w:val="000000"/>
                <w:sz w:val="20"/>
                <w:szCs w:val="20"/>
                <w:lang w:eastAsia="es-MX"/>
              </w:rPr>
              <w:t xml:space="preserve">unicipio de </w:t>
            </w:r>
            <w:r w:rsidR="00E60558">
              <w:rPr>
                <w:rFonts w:ascii="Times New Roman" w:hAnsi="Times New Roman"/>
                <w:color w:val="000000"/>
                <w:sz w:val="20"/>
                <w:szCs w:val="20"/>
                <w:lang w:eastAsia="es-MX"/>
              </w:rPr>
              <w:t>Zapopan, Jal., al 31</w:t>
            </w:r>
            <w:r w:rsidR="00531837" w:rsidRPr="00177B5B">
              <w:rPr>
                <w:rFonts w:ascii="Times New Roman" w:hAnsi="Times New Roman"/>
                <w:color w:val="000000"/>
                <w:sz w:val="20"/>
                <w:szCs w:val="20"/>
                <w:lang w:eastAsia="es-MX"/>
              </w:rPr>
              <w:t xml:space="preserve"> de </w:t>
            </w:r>
            <w:r w:rsidR="00E60558">
              <w:rPr>
                <w:rFonts w:ascii="Times New Roman" w:hAnsi="Times New Roman"/>
                <w:color w:val="000000"/>
                <w:sz w:val="20"/>
                <w:szCs w:val="20"/>
                <w:lang w:eastAsia="es-MX"/>
              </w:rPr>
              <w:t>Dic</w:t>
            </w:r>
            <w:r w:rsidR="00C83EC3" w:rsidRPr="00177B5B">
              <w:rPr>
                <w:rFonts w:ascii="Times New Roman" w:hAnsi="Times New Roman"/>
                <w:color w:val="000000"/>
                <w:sz w:val="20"/>
                <w:szCs w:val="20"/>
                <w:lang w:eastAsia="es-MX"/>
              </w:rPr>
              <w:t>iem</w:t>
            </w:r>
            <w:r w:rsidR="00385C9A" w:rsidRPr="00177B5B">
              <w:rPr>
                <w:rFonts w:ascii="Times New Roman" w:hAnsi="Times New Roman"/>
                <w:color w:val="000000"/>
                <w:sz w:val="20"/>
                <w:szCs w:val="20"/>
                <w:lang w:eastAsia="es-MX"/>
              </w:rPr>
              <w:t>bre</w:t>
            </w:r>
            <w:r w:rsidRPr="00177B5B">
              <w:rPr>
                <w:rFonts w:ascii="Times New Roman" w:hAnsi="Times New Roman"/>
                <w:color w:val="000000"/>
                <w:sz w:val="20"/>
                <w:szCs w:val="20"/>
                <w:lang w:eastAsia="es-MX"/>
              </w:rPr>
              <w:t xml:space="preserve"> de 2021.</w:t>
            </w:r>
          </w:p>
          <w:p w:rsidR="00E55666" w:rsidRPr="006B6696" w:rsidRDefault="00E55666" w:rsidP="009E2155">
            <w:pPr>
              <w:autoSpaceDE w:val="0"/>
              <w:autoSpaceDN w:val="0"/>
              <w:adjustRightInd w:val="0"/>
              <w:spacing w:after="0" w:line="240" w:lineRule="auto"/>
              <w:jc w:val="both"/>
              <w:rPr>
                <w:rFonts w:ascii="Times New Roman" w:hAnsi="Times New Roman"/>
                <w:sz w:val="20"/>
                <w:szCs w:val="20"/>
                <w:lang w:eastAsia="es-MX"/>
              </w:rPr>
            </w:pPr>
          </w:p>
        </w:tc>
      </w:tr>
    </w:tbl>
    <w:p w:rsidR="00EF5F41" w:rsidRPr="006B6696" w:rsidRDefault="00EF5F41" w:rsidP="000E761D">
      <w:pPr>
        <w:rPr>
          <w:rFonts w:ascii="Times New Roman" w:hAnsi="Times New Roman"/>
          <w:sz w:val="20"/>
          <w:szCs w:val="20"/>
        </w:rPr>
      </w:pPr>
    </w:p>
    <w:p w:rsidR="00545E1E" w:rsidRPr="00B157EC" w:rsidRDefault="00545E1E" w:rsidP="00545E1E">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6F71CC" w:rsidRDefault="006F71CC" w:rsidP="006F71CC">
      <w:pPr>
        <w:rPr>
          <w:rFonts w:ascii="Arial" w:hAnsi="Arial" w:cs="Arial"/>
        </w:rPr>
      </w:pPr>
    </w:p>
    <w:p w:rsidR="006F71CC" w:rsidRPr="007326BD" w:rsidRDefault="006F71CC" w:rsidP="006F71CC">
      <w:pPr>
        <w:rPr>
          <w:rFonts w:ascii="Arial" w:hAnsi="Arial" w:cs="Arial"/>
        </w:rPr>
      </w:pPr>
    </w:p>
    <w:p w:rsidR="001C3530" w:rsidRDefault="001C3530" w:rsidP="006F71CC"/>
    <w:sectPr w:rsidR="001C3530"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1F" w:rsidRDefault="00E1551F" w:rsidP="00170B4B">
      <w:pPr>
        <w:spacing w:after="0" w:line="240" w:lineRule="auto"/>
      </w:pPr>
      <w:r>
        <w:separator/>
      </w:r>
    </w:p>
  </w:endnote>
  <w:endnote w:type="continuationSeparator" w:id="0">
    <w:p w:rsidR="00E1551F" w:rsidRDefault="00E1551F"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1F" w:rsidRDefault="00E1551F" w:rsidP="00170B4B">
      <w:pPr>
        <w:spacing w:after="0" w:line="240" w:lineRule="auto"/>
      </w:pPr>
      <w:r>
        <w:separator/>
      </w:r>
    </w:p>
  </w:footnote>
  <w:footnote w:type="continuationSeparator" w:id="0">
    <w:p w:rsidR="00E1551F" w:rsidRDefault="00E1551F" w:rsidP="00170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182"/>
    <w:multiLevelType w:val="multilevel"/>
    <w:tmpl w:val="D91A7AB2"/>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301D17A4"/>
    <w:multiLevelType w:val="multilevel"/>
    <w:tmpl w:val="D91A7AB2"/>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5B44021B"/>
    <w:multiLevelType w:val="multilevel"/>
    <w:tmpl w:val="FAE021A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E3"/>
    <w:rsid w:val="00006C55"/>
    <w:rsid w:val="00007145"/>
    <w:rsid w:val="0001562A"/>
    <w:rsid w:val="0002414B"/>
    <w:rsid w:val="0002586B"/>
    <w:rsid w:val="000311C1"/>
    <w:rsid w:val="00034C2A"/>
    <w:rsid w:val="00035091"/>
    <w:rsid w:val="000421C6"/>
    <w:rsid w:val="000428D4"/>
    <w:rsid w:val="00045CB9"/>
    <w:rsid w:val="00051F96"/>
    <w:rsid w:val="00054919"/>
    <w:rsid w:val="00062E37"/>
    <w:rsid w:val="00072A8F"/>
    <w:rsid w:val="00076BCA"/>
    <w:rsid w:val="00076C81"/>
    <w:rsid w:val="0008706D"/>
    <w:rsid w:val="000903BB"/>
    <w:rsid w:val="0009234F"/>
    <w:rsid w:val="00092760"/>
    <w:rsid w:val="000A0CD0"/>
    <w:rsid w:val="000A322F"/>
    <w:rsid w:val="000A32B9"/>
    <w:rsid w:val="000B08CD"/>
    <w:rsid w:val="000D1F9D"/>
    <w:rsid w:val="000D6FB0"/>
    <w:rsid w:val="000E1C05"/>
    <w:rsid w:val="000E3107"/>
    <w:rsid w:val="000E72A3"/>
    <w:rsid w:val="000E761D"/>
    <w:rsid w:val="000F0804"/>
    <w:rsid w:val="000F185C"/>
    <w:rsid w:val="000F4B18"/>
    <w:rsid w:val="001033B3"/>
    <w:rsid w:val="00103CE9"/>
    <w:rsid w:val="0010718F"/>
    <w:rsid w:val="0011107F"/>
    <w:rsid w:val="00111918"/>
    <w:rsid w:val="00116104"/>
    <w:rsid w:val="0011666D"/>
    <w:rsid w:val="001200AE"/>
    <w:rsid w:val="001243C9"/>
    <w:rsid w:val="00124EC4"/>
    <w:rsid w:val="0012662F"/>
    <w:rsid w:val="0013069C"/>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6A92"/>
    <w:rsid w:val="001D74C8"/>
    <w:rsid w:val="001E1AE2"/>
    <w:rsid w:val="001E26F2"/>
    <w:rsid w:val="001E7BE3"/>
    <w:rsid w:val="0020774A"/>
    <w:rsid w:val="00211C90"/>
    <w:rsid w:val="00211E89"/>
    <w:rsid w:val="00213A5A"/>
    <w:rsid w:val="002163C1"/>
    <w:rsid w:val="00221CFB"/>
    <w:rsid w:val="00223BB1"/>
    <w:rsid w:val="00224C2C"/>
    <w:rsid w:val="00244A89"/>
    <w:rsid w:val="002472F9"/>
    <w:rsid w:val="00250B97"/>
    <w:rsid w:val="00254DC1"/>
    <w:rsid w:val="0026213B"/>
    <w:rsid w:val="00273F69"/>
    <w:rsid w:val="002772FF"/>
    <w:rsid w:val="00277596"/>
    <w:rsid w:val="00282982"/>
    <w:rsid w:val="00282CAB"/>
    <w:rsid w:val="0028306D"/>
    <w:rsid w:val="00292CDB"/>
    <w:rsid w:val="002938D3"/>
    <w:rsid w:val="00297768"/>
    <w:rsid w:val="002A00BB"/>
    <w:rsid w:val="002A0B8A"/>
    <w:rsid w:val="002A1827"/>
    <w:rsid w:val="002A4D02"/>
    <w:rsid w:val="002A58AE"/>
    <w:rsid w:val="002A661A"/>
    <w:rsid w:val="002B305F"/>
    <w:rsid w:val="002C1189"/>
    <w:rsid w:val="002C4BAC"/>
    <w:rsid w:val="002D37E4"/>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65C1F"/>
    <w:rsid w:val="00367435"/>
    <w:rsid w:val="0037617F"/>
    <w:rsid w:val="0038485F"/>
    <w:rsid w:val="00385C9A"/>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37F71"/>
    <w:rsid w:val="00441969"/>
    <w:rsid w:val="00444F97"/>
    <w:rsid w:val="00445FE5"/>
    <w:rsid w:val="0044621D"/>
    <w:rsid w:val="0045437D"/>
    <w:rsid w:val="00454EB8"/>
    <w:rsid w:val="0046312E"/>
    <w:rsid w:val="00473117"/>
    <w:rsid w:val="004874C2"/>
    <w:rsid w:val="004921CA"/>
    <w:rsid w:val="004A176F"/>
    <w:rsid w:val="004A37EF"/>
    <w:rsid w:val="004C1508"/>
    <w:rsid w:val="004C69E8"/>
    <w:rsid w:val="004D1121"/>
    <w:rsid w:val="004D438B"/>
    <w:rsid w:val="004E2910"/>
    <w:rsid w:val="004F430C"/>
    <w:rsid w:val="00501146"/>
    <w:rsid w:val="005069D7"/>
    <w:rsid w:val="00506B78"/>
    <w:rsid w:val="00514F7B"/>
    <w:rsid w:val="00517322"/>
    <w:rsid w:val="00525982"/>
    <w:rsid w:val="00530A4B"/>
    <w:rsid w:val="00531837"/>
    <w:rsid w:val="00531B30"/>
    <w:rsid w:val="00532977"/>
    <w:rsid w:val="00534213"/>
    <w:rsid w:val="005402B2"/>
    <w:rsid w:val="005449E2"/>
    <w:rsid w:val="00545E1E"/>
    <w:rsid w:val="00551E29"/>
    <w:rsid w:val="00563A67"/>
    <w:rsid w:val="00564D79"/>
    <w:rsid w:val="00573A86"/>
    <w:rsid w:val="00580657"/>
    <w:rsid w:val="00583CB2"/>
    <w:rsid w:val="005844FA"/>
    <w:rsid w:val="0058574F"/>
    <w:rsid w:val="00593200"/>
    <w:rsid w:val="0059381A"/>
    <w:rsid w:val="005970F3"/>
    <w:rsid w:val="00597A00"/>
    <w:rsid w:val="005A678B"/>
    <w:rsid w:val="005B2ED7"/>
    <w:rsid w:val="005B31AA"/>
    <w:rsid w:val="005B3F21"/>
    <w:rsid w:val="005C4C05"/>
    <w:rsid w:val="005C7D5F"/>
    <w:rsid w:val="005D03F3"/>
    <w:rsid w:val="005D0F11"/>
    <w:rsid w:val="005E7738"/>
    <w:rsid w:val="005F5FEC"/>
    <w:rsid w:val="005F63AD"/>
    <w:rsid w:val="00612D70"/>
    <w:rsid w:val="006151C1"/>
    <w:rsid w:val="00622CE2"/>
    <w:rsid w:val="00623432"/>
    <w:rsid w:val="00624299"/>
    <w:rsid w:val="006268B6"/>
    <w:rsid w:val="006358BA"/>
    <w:rsid w:val="00637165"/>
    <w:rsid w:val="00641C7D"/>
    <w:rsid w:val="006424C5"/>
    <w:rsid w:val="00647B8F"/>
    <w:rsid w:val="00655491"/>
    <w:rsid w:val="0065720A"/>
    <w:rsid w:val="00660DE8"/>
    <w:rsid w:val="00660F94"/>
    <w:rsid w:val="0066153B"/>
    <w:rsid w:val="00664148"/>
    <w:rsid w:val="00664B48"/>
    <w:rsid w:val="00687183"/>
    <w:rsid w:val="00687805"/>
    <w:rsid w:val="00696284"/>
    <w:rsid w:val="00696E8B"/>
    <w:rsid w:val="006A04C7"/>
    <w:rsid w:val="006A71F4"/>
    <w:rsid w:val="006B06EB"/>
    <w:rsid w:val="006B0896"/>
    <w:rsid w:val="006B3F9C"/>
    <w:rsid w:val="006B4B42"/>
    <w:rsid w:val="006B518F"/>
    <w:rsid w:val="006B6696"/>
    <w:rsid w:val="006C3267"/>
    <w:rsid w:val="006D2FA8"/>
    <w:rsid w:val="006E2F08"/>
    <w:rsid w:val="006E43D4"/>
    <w:rsid w:val="006E5C2D"/>
    <w:rsid w:val="006F1A11"/>
    <w:rsid w:val="006F71CC"/>
    <w:rsid w:val="007035BB"/>
    <w:rsid w:val="00705BB8"/>
    <w:rsid w:val="00712408"/>
    <w:rsid w:val="0071787C"/>
    <w:rsid w:val="00722695"/>
    <w:rsid w:val="007269EB"/>
    <w:rsid w:val="00730FCF"/>
    <w:rsid w:val="00735719"/>
    <w:rsid w:val="00737BAC"/>
    <w:rsid w:val="00740056"/>
    <w:rsid w:val="007454F6"/>
    <w:rsid w:val="00752F56"/>
    <w:rsid w:val="00753DE0"/>
    <w:rsid w:val="00760713"/>
    <w:rsid w:val="00761010"/>
    <w:rsid w:val="007637A3"/>
    <w:rsid w:val="007667E9"/>
    <w:rsid w:val="00767885"/>
    <w:rsid w:val="007707E4"/>
    <w:rsid w:val="007708AC"/>
    <w:rsid w:val="00776A39"/>
    <w:rsid w:val="00785F80"/>
    <w:rsid w:val="00790F5F"/>
    <w:rsid w:val="00792931"/>
    <w:rsid w:val="00793119"/>
    <w:rsid w:val="00794D88"/>
    <w:rsid w:val="00796B01"/>
    <w:rsid w:val="007A18E0"/>
    <w:rsid w:val="007A20AD"/>
    <w:rsid w:val="007A210A"/>
    <w:rsid w:val="007A4D55"/>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404CB"/>
    <w:rsid w:val="00841D91"/>
    <w:rsid w:val="00842089"/>
    <w:rsid w:val="00844503"/>
    <w:rsid w:val="00845C8B"/>
    <w:rsid w:val="00856FE7"/>
    <w:rsid w:val="00857340"/>
    <w:rsid w:val="0086594D"/>
    <w:rsid w:val="00876B6D"/>
    <w:rsid w:val="008821DA"/>
    <w:rsid w:val="00884DF3"/>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E0C14"/>
    <w:rsid w:val="009E2155"/>
    <w:rsid w:val="009E36E2"/>
    <w:rsid w:val="009E3B81"/>
    <w:rsid w:val="009F0E0C"/>
    <w:rsid w:val="009F127E"/>
    <w:rsid w:val="009F2046"/>
    <w:rsid w:val="009F4C1F"/>
    <w:rsid w:val="00A00B45"/>
    <w:rsid w:val="00A04DEE"/>
    <w:rsid w:val="00A0532F"/>
    <w:rsid w:val="00A06A20"/>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91762"/>
    <w:rsid w:val="00A96990"/>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210C"/>
    <w:rsid w:val="00B33A86"/>
    <w:rsid w:val="00B40D8D"/>
    <w:rsid w:val="00B454F9"/>
    <w:rsid w:val="00B4742D"/>
    <w:rsid w:val="00B524BC"/>
    <w:rsid w:val="00B54F8D"/>
    <w:rsid w:val="00B5659D"/>
    <w:rsid w:val="00B56648"/>
    <w:rsid w:val="00B577DE"/>
    <w:rsid w:val="00B60249"/>
    <w:rsid w:val="00B610A3"/>
    <w:rsid w:val="00B712EA"/>
    <w:rsid w:val="00B738CF"/>
    <w:rsid w:val="00B8364B"/>
    <w:rsid w:val="00B93DBA"/>
    <w:rsid w:val="00B9412F"/>
    <w:rsid w:val="00B96D42"/>
    <w:rsid w:val="00BA520D"/>
    <w:rsid w:val="00BB27AF"/>
    <w:rsid w:val="00BC24EB"/>
    <w:rsid w:val="00BC5C80"/>
    <w:rsid w:val="00BC6253"/>
    <w:rsid w:val="00BC75DC"/>
    <w:rsid w:val="00BD19AD"/>
    <w:rsid w:val="00BD3A98"/>
    <w:rsid w:val="00BD3AF5"/>
    <w:rsid w:val="00BD568C"/>
    <w:rsid w:val="00BE2864"/>
    <w:rsid w:val="00BE6576"/>
    <w:rsid w:val="00BF3B8B"/>
    <w:rsid w:val="00C04E20"/>
    <w:rsid w:val="00C06BE9"/>
    <w:rsid w:val="00C10E1B"/>
    <w:rsid w:val="00C16117"/>
    <w:rsid w:val="00C16816"/>
    <w:rsid w:val="00C21BD3"/>
    <w:rsid w:val="00C2228B"/>
    <w:rsid w:val="00C24008"/>
    <w:rsid w:val="00C2448C"/>
    <w:rsid w:val="00C25BF5"/>
    <w:rsid w:val="00C37565"/>
    <w:rsid w:val="00C40ADC"/>
    <w:rsid w:val="00C43882"/>
    <w:rsid w:val="00C50FCA"/>
    <w:rsid w:val="00C52022"/>
    <w:rsid w:val="00C558EF"/>
    <w:rsid w:val="00C55EB7"/>
    <w:rsid w:val="00C617F2"/>
    <w:rsid w:val="00C62EE8"/>
    <w:rsid w:val="00C6629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4DC"/>
    <w:rsid w:val="00CD75FA"/>
    <w:rsid w:val="00CE32BE"/>
    <w:rsid w:val="00CE75FD"/>
    <w:rsid w:val="00CF215F"/>
    <w:rsid w:val="00CF3D9C"/>
    <w:rsid w:val="00CF50A6"/>
    <w:rsid w:val="00CF73A2"/>
    <w:rsid w:val="00D003B3"/>
    <w:rsid w:val="00D10E5C"/>
    <w:rsid w:val="00D11BEC"/>
    <w:rsid w:val="00D140F0"/>
    <w:rsid w:val="00D17770"/>
    <w:rsid w:val="00D17FF6"/>
    <w:rsid w:val="00D245B2"/>
    <w:rsid w:val="00D34498"/>
    <w:rsid w:val="00D50656"/>
    <w:rsid w:val="00D526BB"/>
    <w:rsid w:val="00D55177"/>
    <w:rsid w:val="00D5579A"/>
    <w:rsid w:val="00D6054C"/>
    <w:rsid w:val="00D62216"/>
    <w:rsid w:val="00D73D8A"/>
    <w:rsid w:val="00D741BD"/>
    <w:rsid w:val="00D7794E"/>
    <w:rsid w:val="00D836C9"/>
    <w:rsid w:val="00D9507F"/>
    <w:rsid w:val="00D9716B"/>
    <w:rsid w:val="00DB0AC5"/>
    <w:rsid w:val="00DB27E6"/>
    <w:rsid w:val="00DC69A8"/>
    <w:rsid w:val="00DC72C3"/>
    <w:rsid w:val="00DD3266"/>
    <w:rsid w:val="00DD54B5"/>
    <w:rsid w:val="00DE2722"/>
    <w:rsid w:val="00DE3D45"/>
    <w:rsid w:val="00DF0AAA"/>
    <w:rsid w:val="00DF3AB7"/>
    <w:rsid w:val="00E02273"/>
    <w:rsid w:val="00E0479C"/>
    <w:rsid w:val="00E0512B"/>
    <w:rsid w:val="00E1346E"/>
    <w:rsid w:val="00E1551F"/>
    <w:rsid w:val="00E16F04"/>
    <w:rsid w:val="00E37A1D"/>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81C"/>
    <w:rsid w:val="00ED50FB"/>
    <w:rsid w:val="00ED5411"/>
    <w:rsid w:val="00EE3BB9"/>
    <w:rsid w:val="00EF15E3"/>
    <w:rsid w:val="00EF5F41"/>
    <w:rsid w:val="00F062A2"/>
    <w:rsid w:val="00F16318"/>
    <w:rsid w:val="00F16721"/>
    <w:rsid w:val="00F1732F"/>
    <w:rsid w:val="00F17884"/>
    <w:rsid w:val="00F20F6A"/>
    <w:rsid w:val="00F3029E"/>
    <w:rsid w:val="00F402F1"/>
    <w:rsid w:val="00F418C2"/>
    <w:rsid w:val="00F4333A"/>
    <w:rsid w:val="00F47859"/>
    <w:rsid w:val="00F57A28"/>
    <w:rsid w:val="00F6023B"/>
    <w:rsid w:val="00F60D65"/>
    <w:rsid w:val="00F61155"/>
    <w:rsid w:val="00F65A03"/>
    <w:rsid w:val="00F6601F"/>
    <w:rsid w:val="00F71739"/>
    <w:rsid w:val="00F775CB"/>
    <w:rsid w:val="00F77D76"/>
    <w:rsid w:val="00F83E01"/>
    <w:rsid w:val="00F875DC"/>
    <w:rsid w:val="00F87FE9"/>
    <w:rsid w:val="00F943C0"/>
    <w:rsid w:val="00F9595E"/>
    <w:rsid w:val="00F960A3"/>
    <w:rsid w:val="00F967FB"/>
    <w:rsid w:val="00F96B22"/>
    <w:rsid w:val="00FA367B"/>
    <w:rsid w:val="00FA556F"/>
    <w:rsid w:val="00FB5B80"/>
    <w:rsid w:val="00FB671F"/>
    <w:rsid w:val="00FC01E8"/>
    <w:rsid w:val="00FC1C7D"/>
    <w:rsid w:val="00FC4124"/>
    <w:rsid w:val="00FC5668"/>
    <w:rsid w:val="00FD00C4"/>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4395581">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781606082">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682001847">
      <w:bodyDiv w:val="1"/>
      <w:marLeft w:val="0"/>
      <w:marRight w:val="0"/>
      <w:marTop w:val="0"/>
      <w:marBottom w:val="0"/>
      <w:divBdr>
        <w:top w:val="none" w:sz="0" w:space="0" w:color="auto"/>
        <w:left w:val="none" w:sz="0" w:space="0" w:color="auto"/>
        <w:bottom w:val="none" w:sz="0" w:space="0" w:color="auto"/>
        <w:right w:val="none" w:sz="0" w:space="0" w:color="auto"/>
      </w:divBdr>
    </w:div>
    <w:div w:id="1686133194">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9587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5453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cgloria</cp:lastModifiedBy>
  <cp:revision>2</cp:revision>
  <cp:lastPrinted>2022-02-09T23:42:00Z</cp:lastPrinted>
  <dcterms:created xsi:type="dcterms:W3CDTF">2022-11-08T17:04:00Z</dcterms:created>
  <dcterms:modified xsi:type="dcterms:W3CDTF">2022-11-08T17:04:00Z</dcterms:modified>
</cp:coreProperties>
</file>