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09C" w:rsidRDefault="00C5309C" w:rsidP="001F1F61">
      <w:pPr>
        <w:spacing w:after="200" w:line="240" w:lineRule="auto"/>
        <w:rPr>
          <w:rFonts w:eastAsia="Times New Roman" w:cstheme="minorHAnsi"/>
          <w:lang w:eastAsia="es-ES"/>
        </w:rPr>
      </w:pPr>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6A33E6">
        <w:rPr>
          <w:rFonts w:eastAsia="Times New Roman" w:cstheme="minorHAnsi"/>
          <w:b/>
          <w:lang w:eastAsia="es-ES"/>
        </w:rPr>
        <w:t>Sexta</w:t>
      </w:r>
      <w:r w:rsidR="00826425">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5F4550">
        <w:rPr>
          <w:rFonts w:cstheme="minorHAnsi"/>
          <w:b/>
          <w:bCs/>
          <w:color w:val="222222"/>
          <w:shd w:val="clear" w:color="auto" w:fill="FFFFFF"/>
        </w:rPr>
        <w:t xml:space="preserve">jueves </w:t>
      </w:r>
      <w:r w:rsidR="006A33E6">
        <w:rPr>
          <w:rFonts w:cstheme="minorHAnsi"/>
          <w:b/>
          <w:bCs/>
          <w:color w:val="222222"/>
          <w:shd w:val="clear" w:color="auto" w:fill="FFFFFF"/>
        </w:rPr>
        <w:t>16</w:t>
      </w:r>
      <w:r w:rsidR="005F4550">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414F42">
        <w:rPr>
          <w:rFonts w:cstheme="minorHAnsi"/>
          <w:b/>
          <w:bCs/>
          <w:color w:val="222222"/>
          <w:shd w:val="clear" w:color="auto" w:fill="FFFFFF"/>
        </w:rPr>
        <w:t>Marzo</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826425">
        <w:rPr>
          <w:rFonts w:cstheme="minorHAnsi"/>
          <w:b/>
          <w:bCs/>
          <w:color w:val="222222"/>
          <w:shd w:val="clear" w:color="auto" w:fill="FFFFFF"/>
        </w:rPr>
        <w:t>3</w:t>
      </w:r>
      <w:r w:rsidRPr="001F1F61">
        <w:rPr>
          <w:rFonts w:cstheme="minorHAnsi"/>
          <w:b/>
          <w:bCs/>
          <w:color w:val="222222"/>
          <w:shd w:val="clear" w:color="auto" w:fill="FFFFFF"/>
        </w:rPr>
        <w:t>, a las 1</w:t>
      </w:r>
      <w:r w:rsidR="006A33E6">
        <w:rPr>
          <w:rFonts w:cstheme="minorHAnsi"/>
          <w:b/>
          <w:bCs/>
          <w:color w:val="222222"/>
          <w:shd w:val="clear" w:color="auto" w:fill="FFFFFF"/>
        </w:rPr>
        <w:t>0</w:t>
      </w:r>
      <w:r w:rsidRPr="001F1F61">
        <w:rPr>
          <w:rFonts w:cstheme="minorHAnsi"/>
          <w:b/>
          <w:bCs/>
          <w:color w:val="222222"/>
          <w:shd w:val="clear" w:color="auto" w:fill="FFFFFF"/>
        </w:rPr>
        <w:t>:00 horas, de manera presencial,</w:t>
      </w:r>
      <w:r w:rsidR="006A33E6" w:rsidRPr="006A33E6">
        <w:rPr>
          <w:rFonts w:cstheme="minorHAnsi"/>
          <w:b/>
          <w:bCs/>
          <w:color w:val="222222"/>
          <w:shd w:val="clear" w:color="auto" w:fill="FFFFFF"/>
        </w:rPr>
        <w:t xml:space="preserve"> </w:t>
      </w:r>
      <w:r w:rsidR="006A33E6" w:rsidRPr="00817CAB">
        <w:rPr>
          <w:rFonts w:cstheme="minorHAnsi"/>
          <w:b/>
          <w:bCs/>
          <w:color w:val="222222"/>
          <w:shd w:val="clear" w:color="auto" w:fill="FFFFFF"/>
        </w:rPr>
        <w:t xml:space="preserve">en </w:t>
      </w:r>
      <w:r w:rsidR="006A33E6">
        <w:rPr>
          <w:rFonts w:cstheme="minorHAnsi"/>
          <w:b/>
          <w:bCs/>
          <w:color w:val="222222"/>
          <w:shd w:val="clear" w:color="auto" w:fill="FFFFFF"/>
        </w:rPr>
        <w:t>e</w:t>
      </w:r>
      <w:r w:rsidR="006A33E6" w:rsidRPr="00817CAB">
        <w:rPr>
          <w:rFonts w:cstheme="minorHAnsi"/>
          <w:b/>
          <w:bCs/>
          <w:color w:val="222222"/>
          <w:shd w:val="clear" w:color="auto" w:fill="FFFFFF"/>
        </w:rPr>
        <w:t>l A</w:t>
      </w:r>
      <w:r w:rsidR="006A33E6">
        <w:rPr>
          <w:rFonts w:cstheme="minorHAnsi"/>
          <w:b/>
          <w:bCs/>
          <w:color w:val="222222"/>
          <w:shd w:val="clear" w:color="auto" w:fill="FFFFFF"/>
        </w:rPr>
        <w:t xml:space="preserve">uditorio No. 1 de Unidad Administrativa Basílica, </w:t>
      </w:r>
      <w:r w:rsidR="006A33E6" w:rsidRPr="001F1F61">
        <w:rPr>
          <w:rFonts w:cstheme="minorHAnsi"/>
          <w:b/>
          <w:bCs/>
          <w:color w:val="222222"/>
          <w:shd w:val="clear" w:color="auto" w:fill="FFFFFF"/>
        </w:rPr>
        <w:t xml:space="preserve"> </w:t>
      </w:r>
      <w:r w:rsidRPr="001F1F61">
        <w:rPr>
          <w:rFonts w:cstheme="minorHAnsi"/>
          <w:b/>
          <w:bCs/>
          <w:color w:val="222222"/>
          <w:shd w:val="clear" w:color="auto" w:fill="FFFFFF"/>
        </w:rPr>
        <w:t xml:space="preserve">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414F42" w:rsidRPr="003971B1" w:rsidRDefault="00414F42" w:rsidP="00414F42">
      <w:pPr>
        <w:pStyle w:val="Prrafodelista"/>
        <w:numPr>
          <w:ilvl w:val="0"/>
          <w:numId w:val="3"/>
        </w:numPr>
        <w:spacing w:after="0" w:line="360" w:lineRule="auto"/>
        <w:jc w:val="both"/>
        <w:rPr>
          <w:rFonts w:eastAsia="Calibri" w:cstheme="minorHAnsi"/>
          <w:lang w:val="es-ES"/>
        </w:rPr>
      </w:pPr>
      <w:r>
        <w:rPr>
          <w:rFonts w:eastAsia="Calibri" w:cstheme="minorHAnsi"/>
          <w:lang w:val="es-ES"/>
        </w:rPr>
        <w:t>Lectura</w:t>
      </w:r>
      <w:r w:rsidRPr="00A1489A">
        <w:rPr>
          <w:rFonts w:eastAsia="Calibri" w:cstheme="minorHAnsi"/>
          <w:lang w:val="es-ES"/>
        </w:rPr>
        <w:t xml:space="preserve"> </w:t>
      </w:r>
      <w:r w:rsidRPr="003971B1">
        <w:rPr>
          <w:rFonts w:eastAsia="Calibri" w:cstheme="minorHAnsi"/>
          <w:lang w:val="es-ES"/>
        </w:rPr>
        <w:t>y Aprobación del acta.</w:t>
      </w:r>
    </w:p>
    <w:p w:rsidR="001F1F61" w:rsidRDefault="001F1F61" w:rsidP="001F1F61">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rsidR="005F4550" w:rsidRPr="001F1F61" w:rsidRDefault="005F4550" w:rsidP="005F4550">
      <w:pPr>
        <w:pStyle w:val="Prrafodelista"/>
        <w:numPr>
          <w:ilvl w:val="0"/>
          <w:numId w:val="5"/>
        </w:numPr>
        <w:shd w:val="clear" w:color="auto" w:fill="FFFFFF"/>
        <w:spacing w:after="0" w:line="360" w:lineRule="atLeast"/>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E80AC6" w:rsidRDefault="00E80AC6" w:rsidP="00E80AC6">
      <w:pPr>
        <w:pStyle w:val="Prrafodelista"/>
        <w:shd w:val="clear" w:color="auto" w:fill="FFFFFF"/>
        <w:spacing w:after="0" w:line="276" w:lineRule="auto"/>
        <w:ind w:left="1440"/>
        <w:jc w:val="both"/>
        <w:rPr>
          <w:rFonts w:eastAsia="Times New Roman" w:cstheme="minorHAnsi"/>
          <w:color w:val="222222"/>
          <w:sz w:val="20"/>
          <w:szCs w:val="20"/>
          <w:lang w:eastAsia="es-MX"/>
        </w:rPr>
      </w:pPr>
    </w:p>
    <w:p w:rsidR="00C00681" w:rsidRPr="00A56E63" w:rsidRDefault="00C00681" w:rsidP="00C00681">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val="es-ES_tradnl" w:eastAsia="es-MX"/>
        </w:rPr>
        <w:t>Presentación de ser el caso e informe de adjudicaciones directas y,</w:t>
      </w:r>
    </w:p>
    <w:p w:rsidR="00C00681" w:rsidRPr="00A56E63" w:rsidRDefault="00C00681" w:rsidP="00C00681">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C00681" w:rsidRDefault="00C00681" w:rsidP="00C00681">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E80AC6" w:rsidRDefault="00E80AC6" w:rsidP="00292D2F">
      <w:pPr>
        <w:spacing w:after="0" w:line="360" w:lineRule="auto"/>
        <w:jc w:val="both"/>
        <w:rPr>
          <w:rFonts w:eastAsia="Calibri" w:cstheme="minorHAnsi"/>
          <w:lang w:val="es-ES"/>
        </w:rPr>
      </w:pPr>
    </w:p>
    <w:p w:rsidR="000A3179" w:rsidRPr="00287664" w:rsidRDefault="00E80AC6" w:rsidP="00292D2F">
      <w:pPr>
        <w:numPr>
          <w:ilvl w:val="0"/>
          <w:numId w:val="5"/>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287664" w:rsidRPr="00292D2F" w:rsidRDefault="00287664" w:rsidP="00287664">
      <w:pPr>
        <w:shd w:val="clear" w:color="auto" w:fill="FFFFFF"/>
        <w:spacing w:after="0" w:line="276" w:lineRule="auto"/>
        <w:ind w:left="2280"/>
        <w:contextualSpacing/>
        <w:rPr>
          <w:rFonts w:eastAsia="Times New Roman" w:cstheme="minorHAnsi"/>
          <w:color w:val="222222"/>
          <w:sz w:val="20"/>
          <w:szCs w:val="20"/>
          <w:lang w:eastAsia="es-MX"/>
        </w:rPr>
      </w:pPr>
    </w:p>
    <w:p w:rsidR="00287664" w:rsidRPr="00287664" w:rsidRDefault="00287664" w:rsidP="00287664">
      <w:pPr>
        <w:pStyle w:val="Prrafodelista"/>
        <w:numPr>
          <w:ilvl w:val="0"/>
          <w:numId w:val="3"/>
        </w:numPr>
        <w:rPr>
          <w:rFonts w:cstheme="minorHAnsi"/>
        </w:rPr>
      </w:pPr>
      <w:r w:rsidRPr="00287664">
        <w:rPr>
          <w:rFonts w:cstheme="minorHAnsi"/>
        </w:rPr>
        <w:t>Asuntos Varios.</w:t>
      </w:r>
    </w:p>
    <w:p w:rsidR="000A3179" w:rsidRPr="00C5309C" w:rsidRDefault="000A3179" w:rsidP="000A3179">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5F4550" w:rsidRDefault="005F4550"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EA1BFA" w:rsidRDefault="00EA1BFA" w:rsidP="001F1F61">
      <w:pPr>
        <w:spacing w:after="200" w:line="240" w:lineRule="auto"/>
        <w:rPr>
          <w:rFonts w:eastAsia="Calibri" w:cstheme="minorHAnsi"/>
          <w:b/>
          <w:lang w:val="pt-BR"/>
        </w:rPr>
      </w:pPr>
    </w:p>
    <w:p w:rsidR="005F4550" w:rsidRDefault="005F4550"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A56E63" w:rsidRDefault="00A56E63" w:rsidP="001F1F61">
      <w:pPr>
        <w:spacing w:after="0" w:line="360" w:lineRule="auto"/>
        <w:jc w:val="both"/>
        <w:rPr>
          <w:rFonts w:eastAsia="Times New Roman" w:cstheme="minorHAnsi"/>
          <w:lang w:eastAsia="es-ES"/>
        </w:rPr>
      </w:pPr>
    </w:p>
    <w:p w:rsidR="002A1374" w:rsidRDefault="002A1374" w:rsidP="001F1F61">
      <w:pPr>
        <w:spacing w:after="0" w:line="360" w:lineRule="auto"/>
        <w:jc w:val="both"/>
        <w:rPr>
          <w:rFonts w:eastAsia="Times New Roman" w:cstheme="minorHAnsi"/>
          <w:lang w:eastAsia="es-ES"/>
        </w:rPr>
      </w:pPr>
    </w:p>
    <w:p w:rsidR="00292D2F" w:rsidRDefault="00292D2F" w:rsidP="001F1F61">
      <w:pPr>
        <w:spacing w:after="0" w:line="360" w:lineRule="auto"/>
        <w:jc w:val="both"/>
        <w:rPr>
          <w:rFonts w:eastAsia="Times New Roman" w:cstheme="minorHAnsi"/>
          <w:lang w:eastAsia="es-ES"/>
        </w:rPr>
      </w:pPr>
    </w:p>
    <w:p w:rsidR="00292D2F" w:rsidRDefault="00292D2F" w:rsidP="001F1F61">
      <w:pPr>
        <w:spacing w:after="0" w:line="360" w:lineRule="auto"/>
        <w:jc w:val="both"/>
        <w:rPr>
          <w:rFonts w:eastAsia="Times New Roman" w:cstheme="minorHAnsi"/>
          <w:lang w:eastAsia="es-ES"/>
        </w:rPr>
      </w:pPr>
    </w:p>
    <w:p w:rsidR="00292D2F" w:rsidRDefault="00292D2F" w:rsidP="001F1F61">
      <w:pPr>
        <w:spacing w:after="0" w:line="360" w:lineRule="auto"/>
        <w:jc w:val="both"/>
        <w:rPr>
          <w:rFonts w:eastAsia="Times New Roman" w:cstheme="minorHAnsi"/>
          <w:lang w:eastAsia="es-ES"/>
        </w:rPr>
      </w:pPr>
    </w:p>
    <w:p w:rsidR="00292D2F" w:rsidRDefault="00292D2F" w:rsidP="001F1F61">
      <w:pPr>
        <w:spacing w:after="0" w:line="360" w:lineRule="auto"/>
        <w:jc w:val="both"/>
        <w:rPr>
          <w:rFonts w:eastAsia="Times New Roman" w:cstheme="minorHAnsi"/>
          <w:lang w:eastAsia="es-ES"/>
        </w:rPr>
      </w:pPr>
    </w:p>
    <w:p w:rsidR="00292D2F" w:rsidRDefault="00292D2F" w:rsidP="001F1F61">
      <w:pPr>
        <w:spacing w:after="0" w:line="360" w:lineRule="auto"/>
        <w:jc w:val="both"/>
        <w:rPr>
          <w:rFonts w:eastAsia="Times New Roman" w:cstheme="minorHAnsi"/>
          <w:lang w:eastAsia="es-ES"/>
        </w:rPr>
      </w:pPr>
    </w:p>
    <w:p w:rsidR="00292D2F" w:rsidRDefault="00292D2F" w:rsidP="001F1F61">
      <w:pPr>
        <w:spacing w:after="0" w:line="360" w:lineRule="auto"/>
        <w:jc w:val="both"/>
        <w:rPr>
          <w:rFonts w:eastAsia="Times New Roman" w:cstheme="minorHAnsi"/>
          <w:lang w:eastAsia="es-ES"/>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F1F61" w:rsidRPr="001F1F61" w:rsidRDefault="001F1F61" w:rsidP="001F1F61">
      <w:pPr>
        <w:spacing w:after="0" w:line="360" w:lineRule="auto"/>
        <w:jc w:val="both"/>
        <w:rPr>
          <w:rFonts w:eastAsia="Times New Roman" w:cstheme="minorHAnsi"/>
          <w:lang w:eastAsia="es-ES"/>
        </w:rPr>
      </w:pPr>
    </w:p>
    <w:p w:rsidR="00B26D50" w:rsidRPr="001F1F61" w:rsidRDefault="001F1F61" w:rsidP="00B26D50">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5237AD">
        <w:rPr>
          <w:rFonts w:eastAsia="Times New Roman" w:cstheme="minorHAnsi"/>
          <w:b/>
          <w:lang w:eastAsia="es-ES"/>
        </w:rPr>
        <w:t xml:space="preserve"> </w:t>
      </w:r>
      <w:r w:rsidR="00F35E4A">
        <w:rPr>
          <w:rFonts w:eastAsia="Times New Roman" w:cstheme="minorHAnsi"/>
          <w:b/>
          <w:lang w:eastAsia="es-ES"/>
        </w:rPr>
        <w:t xml:space="preserve"> </w:t>
      </w:r>
      <w:r w:rsidR="006A33E6">
        <w:rPr>
          <w:rFonts w:eastAsia="Times New Roman" w:cstheme="minorHAnsi"/>
          <w:b/>
          <w:lang w:eastAsia="es-ES"/>
        </w:rPr>
        <w:t>Sexta</w:t>
      </w:r>
      <w:r w:rsidR="00F35E4A">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1177DA">
        <w:rPr>
          <w:rFonts w:cstheme="minorHAnsi"/>
          <w:b/>
          <w:bCs/>
          <w:color w:val="222222"/>
          <w:shd w:val="clear" w:color="auto" w:fill="FFFFFF"/>
        </w:rPr>
        <w:t xml:space="preserve">jueves </w:t>
      </w:r>
      <w:r w:rsidR="006A33E6">
        <w:rPr>
          <w:rFonts w:cstheme="minorHAnsi"/>
          <w:b/>
          <w:bCs/>
          <w:color w:val="222222"/>
          <w:shd w:val="clear" w:color="auto" w:fill="FFFFFF"/>
        </w:rPr>
        <w:t>16</w:t>
      </w:r>
      <w:r w:rsidR="00F35E4A">
        <w:rPr>
          <w:rFonts w:cstheme="minorHAnsi"/>
          <w:b/>
          <w:bCs/>
          <w:color w:val="222222"/>
          <w:shd w:val="clear" w:color="auto" w:fill="FFFFFF"/>
        </w:rPr>
        <w:t xml:space="preserve"> </w:t>
      </w:r>
      <w:r w:rsidR="00B26D50">
        <w:rPr>
          <w:rFonts w:cstheme="minorHAnsi"/>
          <w:b/>
          <w:bCs/>
          <w:color w:val="222222"/>
          <w:shd w:val="clear" w:color="auto" w:fill="FFFFFF"/>
        </w:rPr>
        <w:t xml:space="preserve">de </w:t>
      </w:r>
      <w:r w:rsidR="00414F42">
        <w:rPr>
          <w:rFonts w:cstheme="minorHAnsi"/>
          <w:b/>
          <w:bCs/>
          <w:color w:val="222222"/>
          <w:shd w:val="clear" w:color="auto" w:fill="FFFFFF"/>
        </w:rPr>
        <w:t xml:space="preserve">Marzo </w:t>
      </w:r>
      <w:r w:rsidR="00B26D50" w:rsidRPr="001F1F61">
        <w:rPr>
          <w:rFonts w:cstheme="minorHAnsi"/>
          <w:b/>
          <w:bCs/>
          <w:color w:val="222222"/>
          <w:shd w:val="clear" w:color="auto" w:fill="FFFFFF"/>
        </w:rPr>
        <w:t>del 202</w:t>
      </w:r>
      <w:r w:rsidR="00826425">
        <w:rPr>
          <w:rFonts w:cstheme="minorHAnsi"/>
          <w:b/>
          <w:bCs/>
          <w:color w:val="222222"/>
          <w:shd w:val="clear" w:color="auto" w:fill="FFFFFF"/>
        </w:rPr>
        <w:t>3</w:t>
      </w:r>
      <w:r w:rsidR="00B26D50" w:rsidRPr="001F1F61">
        <w:rPr>
          <w:rFonts w:cstheme="minorHAnsi"/>
          <w:b/>
          <w:bCs/>
          <w:color w:val="222222"/>
          <w:shd w:val="clear" w:color="auto" w:fill="FFFFFF"/>
        </w:rPr>
        <w:t>, a las 1</w:t>
      </w:r>
      <w:r w:rsidR="00292D2F">
        <w:rPr>
          <w:rFonts w:cstheme="minorHAnsi"/>
          <w:b/>
          <w:bCs/>
          <w:color w:val="222222"/>
          <w:shd w:val="clear" w:color="auto" w:fill="FFFFFF"/>
        </w:rPr>
        <w:t>0</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 xml:space="preserve">de manera presencial, </w:t>
      </w:r>
      <w:r w:rsidR="006A33E6" w:rsidRPr="00817CAB">
        <w:rPr>
          <w:rFonts w:cstheme="minorHAnsi"/>
          <w:b/>
          <w:bCs/>
          <w:color w:val="222222"/>
          <w:shd w:val="clear" w:color="auto" w:fill="FFFFFF"/>
        </w:rPr>
        <w:t xml:space="preserve">en </w:t>
      </w:r>
      <w:r w:rsidR="006A33E6">
        <w:rPr>
          <w:rFonts w:cstheme="minorHAnsi"/>
          <w:b/>
          <w:bCs/>
          <w:color w:val="222222"/>
          <w:shd w:val="clear" w:color="auto" w:fill="FFFFFF"/>
        </w:rPr>
        <w:t>e</w:t>
      </w:r>
      <w:r w:rsidR="006A33E6" w:rsidRPr="00817CAB">
        <w:rPr>
          <w:rFonts w:cstheme="minorHAnsi"/>
          <w:b/>
          <w:bCs/>
          <w:color w:val="222222"/>
          <w:shd w:val="clear" w:color="auto" w:fill="FFFFFF"/>
        </w:rPr>
        <w:t>l A</w:t>
      </w:r>
      <w:r w:rsidR="006A33E6">
        <w:rPr>
          <w:rFonts w:cstheme="minorHAnsi"/>
          <w:b/>
          <w:bCs/>
          <w:color w:val="222222"/>
          <w:shd w:val="clear" w:color="auto" w:fill="FFFFFF"/>
        </w:rPr>
        <w:t xml:space="preserve">uditorio No. 1 de Unidad Administrativa Basílica, </w:t>
      </w:r>
      <w:r w:rsidR="006A33E6" w:rsidRPr="001F1F61">
        <w:rPr>
          <w:rFonts w:cstheme="minorHAnsi"/>
          <w:b/>
          <w:bCs/>
          <w:color w:val="222222"/>
          <w:shd w:val="clear" w:color="auto" w:fill="FFFFFF"/>
        </w:rPr>
        <w:t xml:space="preserve"> </w:t>
      </w:r>
      <w:r w:rsidR="00B26D50" w:rsidRPr="001F1F61">
        <w:rPr>
          <w:rFonts w:cstheme="minorHAnsi"/>
          <w:color w:val="222222"/>
          <w:shd w:val="clear" w:color="auto" w:fill="FFFFFF"/>
        </w:rPr>
        <w:t>bajo el siguiente:</w:t>
      </w: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414F42" w:rsidRPr="003971B1" w:rsidRDefault="00414F42" w:rsidP="00414F42">
      <w:pPr>
        <w:pStyle w:val="Prrafodelista"/>
        <w:numPr>
          <w:ilvl w:val="1"/>
          <w:numId w:val="8"/>
        </w:numPr>
        <w:spacing w:after="0" w:line="360" w:lineRule="auto"/>
        <w:jc w:val="both"/>
        <w:rPr>
          <w:rFonts w:eastAsia="Calibri" w:cstheme="minorHAnsi"/>
          <w:lang w:val="es-ES"/>
        </w:rPr>
      </w:pPr>
      <w:r>
        <w:rPr>
          <w:rFonts w:eastAsia="Calibri" w:cstheme="minorHAnsi"/>
          <w:lang w:val="es-ES"/>
        </w:rPr>
        <w:t>Lectura</w:t>
      </w:r>
      <w:r w:rsidRPr="00A1489A">
        <w:rPr>
          <w:rFonts w:eastAsia="Calibri" w:cstheme="minorHAnsi"/>
          <w:lang w:val="es-ES"/>
        </w:rPr>
        <w:t xml:space="preserve"> </w:t>
      </w:r>
      <w:r w:rsidRPr="003971B1">
        <w:rPr>
          <w:rFonts w:eastAsia="Calibri" w:cstheme="minorHAnsi"/>
          <w:lang w:val="es-ES"/>
        </w:rPr>
        <w:t>y Aprobación del acta.</w:t>
      </w:r>
    </w:p>
    <w:p w:rsidR="001F1F61" w:rsidRDefault="001F1F61" w:rsidP="00FC7202">
      <w:pPr>
        <w:pStyle w:val="Prrafodelista"/>
        <w:numPr>
          <w:ilvl w:val="1"/>
          <w:numId w:val="8"/>
        </w:numPr>
        <w:spacing w:after="0" w:line="360" w:lineRule="auto"/>
        <w:rPr>
          <w:rFonts w:eastAsia="Calibri" w:cstheme="minorHAnsi"/>
          <w:lang w:val="es-ES"/>
        </w:rPr>
      </w:pPr>
      <w:r w:rsidRPr="004F04B6">
        <w:rPr>
          <w:rFonts w:eastAsia="Calibri" w:cstheme="minorHAnsi"/>
          <w:lang w:val="es-ES"/>
        </w:rPr>
        <w:t xml:space="preserve">Agenda de Trabajo: </w:t>
      </w:r>
    </w:p>
    <w:p w:rsidR="00E72629" w:rsidRDefault="00E72629" w:rsidP="00E72629">
      <w:pPr>
        <w:pStyle w:val="Prrafodelista"/>
        <w:spacing w:after="0" w:line="360" w:lineRule="auto"/>
        <w:ind w:left="1440"/>
        <w:rPr>
          <w:rFonts w:eastAsia="Calibri" w:cstheme="minorHAnsi"/>
          <w:lang w:val="es-ES"/>
        </w:rPr>
      </w:pPr>
    </w:p>
    <w:p w:rsidR="005F4550" w:rsidRPr="005F4550" w:rsidRDefault="005F4550" w:rsidP="005F4550">
      <w:pPr>
        <w:shd w:val="clear" w:color="auto" w:fill="FFFFFF"/>
        <w:spacing w:after="0" w:line="360" w:lineRule="atLeast"/>
        <w:ind w:left="1080"/>
        <w:jc w:val="both"/>
        <w:rPr>
          <w:rFonts w:eastAsia="Times New Roman" w:cstheme="minorHAnsi"/>
          <w:color w:val="222222"/>
          <w:sz w:val="20"/>
          <w:szCs w:val="20"/>
          <w:lang w:eastAsia="es-MX"/>
        </w:rPr>
      </w:pPr>
      <w:r>
        <w:rPr>
          <w:rFonts w:eastAsia="Times New Roman" w:cstheme="minorHAnsi"/>
          <w:color w:val="222222"/>
          <w:sz w:val="20"/>
          <w:szCs w:val="20"/>
          <w:lang w:val="es-ES_tradnl" w:eastAsia="es-MX"/>
        </w:rPr>
        <w:t xml:space="preserve">1. </w:t>
      </w:r>
      <w:r w:rsidRPr="005F4550">
        <w:rPr>
          <w:rFonts w:eastAsia="Times New Roman" w:cstheme="minorHAnsi"/>
          <w:color w:val="222222"/>
          <w:sz w:val="20"/>
          <w:szCs w:val="20"/>
          <w:lang w:val="es-ES_tradnl" w:eastAsia="es-MX"/>
        </w:rPr>
        <w:t>Presentación de cuadros de procesos de licitación pública con concurrencia del Comité, o.</w:t>
      </w:r>
    </w:p>
    <w:p w:rsidR="005F4550" w:rsidRDefault="005F4550" w:rsidP="005F4550">
      <w:pPr>
        <w:pStyle w:val="Prrafodelista"/>
        <w:spacing w:after="0" w:line="360" w:lineRule="auto"/>
        <w:ind w:left="1440"/>
        <w:rPr>
          <w:rFonts w:eastAsia="Calibri" w:cstheme="minorHAnsi"/>
          <w:lang w:val="es-ES"/>
        </w:rPr>
      </w:pPr>
    </w:p>
    <w:p w:rsidR="00E72629" w:rsidRPr="005F4550" w:rsidRDefault="005F4550" w:rsidP="005F4550">
      <w:pPr>
        <w:shd w:val="clear" w:color="auto" w:fill="FFFFFF"/>
        <w:spacing w:after="0" w:line="276" w:lineRule="auto"/>
        <w:ind w:left="1080"/>
        <w:jc w:val="both"/>
        <w:rPr>
          <w:rFonts w:eastAsia="Times New Roman" w:cstheme="minorHAnsi"/>
          <w:color w:val="222222"/>
          <w:sz w:val="20"/>
          <w:szCs w:val="20"/>
          <w:lang w:eastAsia="es-MX"/>
        </w:rPr>
      </w:pPr>
      <w:r>
        <w:rPr>
          <w:rFonts w:eastAsia="Times New Roman" w:cstheme="minorHAnsi"/>
          <w:color w:val="222222"/>
          <w:sz w:val="20"/>
          <w:szCs w:val="20"/>
          <w:lang w:val="es-ES_tradnl" w:eastAsia="es-MX"/>
        </w:rPr>
        <w:t>2.</w:t>
      </w:r>
      <w:r w:rsidR="00E72629" w:rsidRPr="005F4550">
        <w:rPr>
          <w:rFonts w:eastAsia="Times New Roman" w:cstheme="minorHAnsi"/>
          <w:color w:val="222222"/>
          <w:sz w:val="20"/>
          <w:szCs w:val="20"/>
          <w:lang w:val="es-ES_tradnl" w:eastAsia="es-MX"/>
        </w:rPr>
        <w:t xml:space="preserve"> Presentación de ser el caso e informe de adjudicaciones directas y,</w:t>
      </w:r>
    </w:p>
    <w:p w:rsidR="00E72629" w:rsidRPr="00A56E63" w:rsidRDefault="00E72629" w:rsidP="00E72629">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E72629" w:rsidRDefault="00E72629" w:rsidP="00E72629">
      <w:pPr>
        <w:pStyle w:val="Prrafodelista"/>
        <w:numPr>
          <w:ilvl w:val="3"/>
          <w:numId w:val="8"/>
        </w:numPr>
        <w:shd w:val="clear" w:color="auto" w:fill="FFFFFF"/>
        <w:spacing w:after="0" w:line="276" w:lineRule="auto"/>
        <w:jc w:val="both"/>
        <w:rPr>
          <w:rFonts w:eastAsia="Times New Roman" w:cstheme="minorHAnsi"/>
          <w:color w:val="222222"/>
          <w:sz w:val="20"/>
          <w:szCs w:val="20"/>
          <w:lang w:eastAsia="es-MX"/>
        </w:rPr>
      </w:pPr>
      <w:r w:rsidRPr="00E72629">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5F4550" w:rsidRDefault="005F4550" w:rsidP="005F4550">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237AD" w:rsidRPr="00511689" w:rsidRDefault="005F4550" w:rsidP="005F4550">
      <w:pPr>
        <w:shd w:val="clear" w:color="auto" w:fill="FFFFFF"/>
        <w:spacing w:after="0" w:line="276" w:lineRule="auto"/>
        <w:ind w:left="708" w:firstLine="708"/>
        <w:contextualSpacing/>
        <w:rPr>
          <w:rFonts w:eastAsia="Times New Roman" w:cstheme="minorHAnsi"/>
          <w:color w:val="222222"/>
          <w:sz w:val="20"/>
          <w:szCs w:val="20"/>
          <w:lang w:eastAsia="es-MX"/>
        </w:rPr>
      </w:pPr>
      <w:r>
        <w:rPr>
          <w:rFonts w:eastAsia="Times New Roman" w:cstheme="minorHAnsi"/>
          <w:color w:val="222222"/>
          <w:sz w:val="20"/>
          <w:szCs w:val="20"/>
          <w:lang w:val="es-ES_tradnl" w:eastAsia="es-MX"/>
        </w:rPr>
        <w:t>4</w:t>
      </w:r>
      <w:r w:rsidR="00E72629">
        <w:rPr>
          <w:rFonts w:eastAsia="Times New Roman" w:cstheme="minorHAnsi"/>
          <w:color w:val="222222"/>
          <w:sz w:val="20"/>
          <w:szCs w:val="20"/>
          <w:lang w:val="es-ES_tradnl" w:eastAsia="es-MX"/>
        </w:rPr>
        <w:t>.</w:t>
      </w:r>
      <w:r w:rsidR="005237AD">
        <w:rPr>
          <w:rFonts w:eastAsia="Times New Roman" w:cstheme="minorHAnsi"/>
          <w:color w:val="222222"/>
          <w:sz w:val="20"/>
          <w:szCs w:val="20"/>
          <w:lang w:val="es-ES_tradnl" w:eastAsia="es-MX"/>
        </w:rPr>
        <w:t xml:space="preserve"> </w:t>
      </w:r>
      <w:r w:rsidR="005237AD" w:rsidRPr="00511689">
        <w:rPr>
          <w:rFonts w:eastAsia="Times New Roman" w:cstheme="minorHAnsi"/>
          <w:color w:val="222222"/>
          <w:sz w:val="20"/>
          <w:szCs w:val="20"/>
          <w:lang w:val="es-ES_tradnl" w:eastAsia="es-MX"/>
        </w:rPr>
        <w:t>Presentación de bases para su aprobación</w:t>
      </w:r>
      <w:r w:rsidR="005237AD">
        <w:rPr>
          <w:rFonts w:eastAsia="Times New Roman" w:cstheme="minorHAnsi"/>
          <w:color w:val="222222"/>
          <w:sz w:val="20"/>
          <w:szCs w:val="20"/>
          <w:lang w:val="es-ES_tradnl" w:eastAsia="es-MX"/>
        </w:rPr>
        <w:t>.</w:t>
      </w:r>
    </w:p>
    <w:p w:rsidR="003C2A7B" w:rsidRDefault="003C2A7B" w:rsidP="00292D2F">
      <w:pPr>
        <w:shd w:val="clear" w:color="auto" w:fill="FFFFFF"/>
        <w:spacing w:after="0" w:line="276" w:lineRule="auto"/>
        <w:jc w:val="both"/>
        <w:rPr>
          <w:rFonts w:eastAsia="Times New Roman" w:cstheme="minorHAnsi"/>
          <w:color w:val="222222"/>
          <w:sz w:val="20"/>
          <w:szCs w:val="20"/>
          <w:lang w:eastAsia="es-MX"/>
        </w:rPr>
      </w:pPr>
    </w:p>
    <w:p w:rsidR="0056421C" w:rsidRPr="0056421C" w:rsidRDefault="0056421C" w:rsidP="0056421C">
      <w:pPr>
        <w:pStyle w:val="Prrafodelista"/>
        <w:numPr>
          <w:ilvl w:val="1"/>
          <w:numId w:val="8"/>
        </w:numPr>
        <w:rPr>
          <w:rFonts w:cstheme="minorHAnsi"/>
        </w:rPr>
      </w:pPr>
      <w:bookmarkStart w:id="0" w:name="_GoBack"/>
      <w:bookmarkEnd w:id="0"/>
      <w:r w:rsidRPr="0056421C">
        <w:rPr>
          <w:rFonts w:cstheme="minorHAnsi"/>
        </w:rPr>
        <w:t>Asuntos Varios.</w:t>
      </w:r>
    </w:p>
    <w:p w:rsidR="0056421C" w:rsidRPr="00292D2F" w:rsidRDefault="0056421C" w:rsidP="00292D2F">
      <w:pPr>
        <w:shd w:val="clear" w:color="auto" w:fill="FFFFFF"/>
        <w:spacing w:after="0" w:line="276" w:lineRule="auto"/>
        <w:jc w:val="both"/>
        <w:rPr>
          <w:rFonts w:eastAsia="Times New Roman" w:cstheme="minorHAnsi"/>
          <w:color w:val="222222"/>
          <w:sz w:val="20"/>
          <w:szCs w:val="20"/>
          <w:lang w:eastAsia="es-MX"/>
        </w:rPr>
      </w:pPr>
    </w:p>
    <w:p w:rsidR="005D70CA" w:rsidRDefault="005D70CA"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292D2F">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5D70CA" w:rsidRPr="001F1F61" w:rsidRDefault="005D70CA"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5D70CA" w:rsidRDefault="005D70C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7B121B">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FFA" w:rsidRDefault="008C6FFA">
      <w:pPr>
        <w:spacing w:after="0" w:line="240" w:lineRule="auto"/>
      </w:pPr>
      <w:r>
        <w:separator/>
      </w:r>
    </w:p>
  </w:endnote>
  <w:endnote w:type="continuationSeparator" w:id="0">
    <w:p w:rsidR="008C6FFA" w:rsidRDefault="008C6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FFA" w:rsidRDefault="008C6FFA">
      <w:pPr>
        <w:spacing w:after="0" w:line="240" w:lineRule="auto"/>
      </w:pPr>
      <w:r>
        <w:separator/>
      </w:r>
    </w:p>
  </w:footnote>
  <w:footnote w:type="continuationSeparator" w:id="0">
    <w:p w:rsidR="008C6FFA" w:rsidRDefault="008C6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6"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7"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1"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3"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4" w15:restartNumberingAfterBreak="0">
    <w:nsid w:val="5DBE1891"/>
    <w:multiLevelType w:val="hybridMultilevel"/>
    <w:tmpl w:val="ACDE60F8"/>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num w:numId="1">
    <w:abstractNumId w:val="3"/>
  </w:num>
  <w:num w:numId="2">
    <w:abstractNumId w:val="6"/>
  </w:num>
  <w:num w:numId="3">
    <w:abstractNumId w:val="7"/>
  </w:num>
  <w:num w:numId="4">
    <w:abstractNumId w:val="4"/>
  </w:num>
  <w:num w:numId="5">
    <w:abstractNumId w:val="12"/>
  </w:num>
  <w:num w:numId="6">
    <w:abstractNumId w:val="8"/>
  </w:num>
  <w:num w:numId="7">
    <w:abstractNumId w:val="2"/>
  </w:num>
  <w:num w:numId="8">
    <w:abstractNumId w:val="14"/>
  </w:num>
  <w:num w:numId="9">
    <w:abstractNumId w:val="13"/>
  </w:num>
  <w:num w:numId="10">
    <w:abstractNumId w:val="16"/>
  </w:num>
  <w:num w:numId="11">
    <w:abstractNumId w:val="15"/>
  </w:num>
  <w:num w:numId="12">
    <w:abstractNumId w:val="11"/>
  </w:num>
  <w:num w:numId="13">
    <w:abstractNumId w:val="0"/>
  </w:num>
  <w:num w:numId="14">
    <w:abstractNumId w:val="10"/>
  </w:num>
  <w:num w:numId="15">
    <w:abstractNumId w:val="5"/>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62955"/>
    <w:rsid w:val="000670B8"/>
    <w:rsid w:val="000734CD"/>
    <w:rsid w:val="00084728"/>
    <w:rsid w:val="000A3179"/>
    <w:rsid w:val="000A7213"/>
    <w:rsid w:val="000B47F8"/>
    <w:rsid w:val="000C5F1E"/>
    <w:rsid w:val="000E02BD"/>
    <w:rsid w:val="000E3A2A"/>
    <w:rsid w:val="000F483D"/>
    <w:rsid w:val="00102D3F"/>
    <w:rsid w:val="00117123"/>
    <w:rsid w:val="001177DA"/>
    <w:rsid w:val="00145465"/>
    <w:rsid w:val="001E73BD"/>
    <w:rsid w:val="001F1F61"/>
    <w:rsid w:val="00202714"/>
    <w:rsid w:val="00235333"/>
    <w:rsid w:val="002445D0"/>
    <w:rsid w:val="00250449"/>
    <w:rsid w:val="00271F90"/>
    <w:rsid w:val="00287664"/>
    <w:rsid w:val="00287913"/>
    <w:rsid w:val="00292D2F"/>
    <w:rsid w:val="0029360C"/>
    <w:rsid w:val="002A1374"/>
    <w:rsid w:val="002D0E9D"/>
    <w:rsid w:val="00313325"/>
    <w:rsid w:val="00356C87"/>
    <w:rsid w:val="00376917"/>
    <w:rsid w:val="00384784"/>
    <w:rsid w:val="003971B1"/>
    <w:rsid w:val="003C2A7B"/>
    <w:rsid w:val="00411EE8"/>
    <w:rsid w:val="00414F42"/>
    <w:rsid w:val="00415A87"/>
    <w:rsid w:val="00420297"/>
    <w:rsid w:val="004338EC"/>
    <w:rsid w:val="004528EF"/>
    <w:rsid w:val="004615B8"/>
    <w:rsid w:val="00463210"/>
    <w:rsid w:val="00475167"/>
    <w:rsid w:val="0048652F"/>
    <w:rsid w:val="004B3857"/>
    <w:rsid w:val="004D0DD5"/>
    <w:rsid w:val="004F04B6"/>
    <w:rsid w:val="00515127"/>
    <w:rsid w:val="005237AD"/>
    <w:rsid w:val="0056421C"/>
    <w:rsid w:val="00565F53"/>
    <w:rsid w:val="00566E9F"/>
    <w:rsid w:val="0058097C"/>
    <w:rsid w:val="005B04DB"/>
    <w:rsid w:val="005B4CD9"/>
    <w:rsid w:val="005D1B93"/>
    <w:rsid w:val="005D6593"/>
    <w:rsid w:val="005D70CA"/>
    <w:rsid w:val="005E29F1"/>
    <w:rsid w:val="005F4550"/>
    <w:rsid w:val="005F50E7"/>
    <w:rsid w:val="00637301"/>
    <w:rsid w:val="006A33E6"/>
    <w:rsid w:val="006F07F8"/>
    <w:rsid w:val="006F0C4F"/>
    <w:rsid w:val="007258FA"/>
    <w:rsid w:val="0073697F"/>
    <w:rsid w:val="007B121B"/>
    <w:rsid w:val="007B4D5D"/>
    <w:rsid w:val="007E5C99"/>
    <w:rsid w:val="007F0592"/>
    <w:rsid w:val="00815E03"/>
    <w:rsid w:val="00826425"/>
    <w:rsid w:val="00827441"/>
    <w:rsid w:val="00854EAB"/>
    <w:rsid w:val="008722A5"/>
    <w:rsid w:val="00892B45"/>
    <w:rsid w:val="008C6FFA"/>
    <w:rsid w:val="008E179C"/>
    <w:rsid w:val="00930DF9"/>
    <w:rsid w:val="00947CE1"/>
    <w:rsid w:val="00981C38"/>
    <w:rsid w:val="009A0550"/>
    <w:rsid w:val="009A3409"/>
    <w:rsid w:val="009E416F"/>
    <w:rsid w:val="009F3087"/>
    <w:rsid w:val="00A10DA0"/>
    <w:rsid w:val="00A1297E"/>
    <w:rsid w:val="00A1489A"/>
    <w:rsid w:val="00A27267"/>
    <w:rsid w:val="00A354A6"/>
    <w:rsid w:val="00A56E63"/>
    <w:rsid w:val="00A77F3C"/>
    <w:rsid w:val="00A830CD"/>
    <w:rsid w:val="00A92ACC"/>
    <w:rsid w:val="00A96C70"/>
    <w:rsid w:val="00AA332A"/>
    <w:rsid w:val="00AC44C8"/>
    <w:rsid w:val="00AC5A99"/>
    <w:rsid w:val="00B23334"/>
    <w:rsid w:val="00B26D50"/>
    <w:rsid w:val="00B46580"/>
    <w:rsid w:val="00B50714"/>
    <w:rsid w:val="00B91708"/>
    <w:rsid w:val="00B95C9F"/>
    <w:rsid w:val="00BB30E3"/>
    <w:rsid w:val="00BF1C8C"/>
    <w:rsid w:val="00C00681"/>
    <w:rsid w:val="00C24582"/>
    <w:rsid w:val="00C5309C"/>
    <w:rsid w:val="00C71413"/>
    <w:rsid w:val="00C80B08"/>
    <w:rsid w:val="00C82FA3"/>
    <w:rsid w:val="00C85F17"/>
    <w:rsid w:val="00CC31CB"/>
    <w:rsid w:val="00CE0E97"/>
    <w:rsid w:val="00D0191D"/>
    <w:rsid w:val="00D34F4C"/>
    <w:rsid w:val="00D6553C"/>
    <w:rsid w:val="00D93BF9"/>
    <w:rsid w:val="00DA1119"/>
    <w:rsid w:val="00DC2137"/>
    <w:rsid w:val="00DE0B1A"/>
    <w:rsid w:val="00E06BFB"/>
    <w:rsid w:val="00E34C45"/>
    <w:rsid w:val="00E72629"/>
    <w:rsid w:val="00E72ECC"/>
    <w:rsid w:val="00E80269"/>
    <w:rsid w:val="00E80AC6"/>
    <w:rsid w:val="00E85884"/>
    <w:rsid w:val="00EA1BFA"/>
    <w:rsid w:val="00EA4722"/>
    <w:rsid w:val="00ED6E13"/>
    <w:rsid w:val="00F253FB"/>
    <w:rsid w:val="00F35E4A"/>
    <w:rsid w:val="00F6594A"/>
    <w:rsid w:val="00F870BB"/>
    <w:rsid w:val="00F9394F"/>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34433"/>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610</Words>
  <Characters>3359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24</cp:revision>
  <cp:lastPrinted>2023-02-13T17:15:00Z</cp:lastPrinted>
  <dcterms:created xsi:type="dcterms:W3CDTF">2022-12-12T23:39:00Z</dcterms:created>
  <dcterms:modified xsi:type="dcterms:W3CDTF">2023-03-15T19:42:00Z</dcterms:modified>
</cp:coreProperties>
</file>