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1F64EE" w:rsidRPr="001F64EE" w14:paraId="77283106" w14:textId="77777777" w:rsidTr="000F7FD3">
        <w:tc>
          <w:tcPr>
            <w:tcW w:w="9039" w:type="dxa"/>
          </w:tcPr>
          <w:p w14:paraId="36F13645" w14:textId="77777777" w:rsidR="00F834D7" w:rsidRPr="00220D09" w:rsidRDefault="00FB0CB2" w:rsidP="00A03A43">
            <w:pPr>
              <w:pStyle w:val="Ttulo2"/>
              <w:spacing w:before="0" w:line="240" w:lineRule="auto"/>
              <w:jc w:val="center"/>
              <w:rPr>
                <w:rFonts w:ascii="Arial" w:hAnsi="Arial" w:cs="Arial"/>
                <w:b/>
                <w:color w:val="auto"/>
              </w:rPr>
            </w:pPr>
            <w:bookmarkStart w:id="0" w:name="_GoBack"/>
            <w:bookmarkEnd w:id="0"/>
            <w:r w:rsidRPr="00220D09">
              <w:rPr>
                <w:rFonts w:ascii="Arial" w:hAnsi="Arial" w:cs="Arial"/>
                <w:b/>
                <w:color w:val="auto"/>
              </w:rPr>
              <w:t>MUNICIPIO ZAPOPAN</w:t>
            </w:r>
          </w:p>
          <w:p w14:paraId="5EBBC131" w14:textId="77777777" w:rsidR="00F834D7" w:rsidRPr="00220D09" w:rsidRDefault="00FB0CB2" w:rsidP="00A03A43">
            <w:pPr>
              <w:pStyle w:val="Ttulo2"/>
              <w:spacing w:before="0" w:line="240" w:lineRule="auto"/>
              <w:jc w:val="center"/>
              <w:rPr>
                <w:rFonts w:ascii="Arial" w:hAnsi="Arial" w:cs="Arial"/>
                <w:b/>
                <w:color w:val="auto"/>
              </w:rPr>
            </w:pPr>
            <w:r w:rsidRPr="00220D09">
              <w:rPr>
                <w:rFonts w:ascii="Arial" w:hAnsi="Arial" w:cs="Arial"/>
                <w:b/>
                <w:color w:val="auto"/>
              </w:rPr>
              <w:t>NOTAS A LOS ESTADOS FINANCIEROS</w:t>
            </w:r>
          </w:p>
          <w:p w14:paraId="63EF639E" w14:textId="77777777" w:rsidR="00F834D7" w:rsidRPr="00220D09" w:rsidRDefault="00FB0CB2" w:rsidP="00A03A43">
            <w:pPr>
              <w:pStyle w:val="Ttulo2"/>
              <w:spacing w:before="0" w:line="240" w:lineRule="auto"/>
              <w:jc w:val="center"/>
              <w:rPr>
                <w:rFonts w:ascii="Arial" w:hAnsi="Arial" w:cs="Arial"/>
                <w:b/>
                <w:color w:val="auto"/>
              </w:rPr>
            </w:pPr>
            <w:r w:rsidRPr="00220D09">
              <w:rPr>
                <w:rFonts w:ascii="Arial" w:hAnsi="Arial" w:cs="Arial"/>
                <w:b/>
                <w:color w:val="auto"/>
              </w:rPr>
              <w:t>DE GESTIÓN ADMINISTRATIVA</w:t>
            </w:r>
          </w:p>
          <w:p w14:paraId="71CD9709" w14:textId="08EFD382" w:rsidR="00A45E83" w:rsidRPr="001F64EE" w:rsidRDefault="00E82596" w:rsidP="00A03A43">
            <w:pPr>
              <w:pStyle w:val="Ttulo2"/>
              <w:spacing w:before="0" w:line="240" w:lineRule="auto"/>
              <w:jc w:val="center"/>
              <w:rPr>
                <w:color w:val="auto"/>
              </w:rPr>
            </w:pPr>
            <w:bookmarkStart w:id="1" w:name="periodo"/>
            <w:bookmarkEnd w:id="1"/>
            <w:r w:rsidRPr="00220D09">
              <w:rPr>
                <w:rFonts w:ascii="Arial" w:hAnsi="Arial" w:cs="Arial"/>
                <w:b/>
                <w:color w:val="auto"/>
              </w:rPr>
              <w:t xml:space="preserve">DEL 1 DE ENERO AL </w:t>
            </w:r>
            <w:r w:rsidR="008F2206">
              <w:rPr>
                <w:rFonts w:ascii="Arial" w:hAnsi="Arial" w:cs="Arial"/>
                <w:b/>
                <w:color w:val="auto"/>
              </w:rPr>
              <w:t>30</w:t>
            </w:r>
            <w:r w:rsidRPr="00220D09">
              <w:rPr>
                <w:rFonts w:ascii="Arial" w:hAnsi="Arial" w:cs="Arial"/>
                <w:b/>
                <w:color w:val="auto"/>
              </w:rPr>
              <w:t xml:space="preserve"> DE </w:t>
            </w:r>
            <w:r w:rsidR="008F2206">
              <w:rPr>
                <w:rFonts w:ascii="Arial" w:hAnsi="Arial" w:cs="Arial"/>
                <w:b/>
                <w:color w:val="auto"/>
              </w:rPr>
              <w:t>JUNIO</w:t>
            </w:r>
            <w:r w:rsidR="00F834D7" w:rsidRPr="00220D09">
              <w:rPr>
                <w:rFonts w:ascii="Arial" w:hAnsi="Arial" w:cs="Arial"/>
                <w:b/>
                <w:color w:val="auto"/>
              </w:rPr>
              <w:t xml:space="preserve"> DE </w:t>
            </w:r>
            <w:r w:rsidR="007B28F4" w:rsidRPr="00220D09">
              <w:rPr>
                <w:rFonts w:ascii="Arial" w:hAnsi="Arial" w:cs="Arial"/>
                <w:b/>
                <w:color w:val="auto"/>
              </w:rPr>
              <w:t>2023</w:t>
            </w:r>
          </w:p>
        </w:tc>
      </w:tr>
    </w:tbl>
    <w:p w14:paraId="5BED9DA7" w14:textId="77777777" w:rsidR="00806603" w:rsidRPr="006C59FB" w:rsidRDefault="00806603" w:rsidP="00A03A43">
      <w:pPr>
        <w:jc w:val="both"/>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6"/>
        <w:gridCol w:w="1249"/>
        <w:gridCol w:w="3842"/>
        <w:gridCol w:w="239"/>
      </w:tblGrid>
      <w:tr w:rsidR="00A45E83" w:rsidRPr="006C59FB" w14:paraId="31059BF0" w14:textId="77777777" w:rsidTr="0095369E">
        <w:trPr>
          <w:trHeight w:val="992"/>
        </w:trPr>
        <w:tc>
          <w:tcPr>
            <w:tcW w:w="5000" w:type="pct"/>
            <w:gridSpan w:val="4"/>
          </w:tcPr>
          <w:p w14:paraId="45C5EDDA" w14:textId="77777777" w:rsidR="00E81301" w:rsidRPr="00220D09" w:rsidRDefault="00E81301" w:rsidP="005772CC">
            <w:pPr>
              <w:spacing w:after="0" w:line="240" w:lineRule="auto"/>
              <w:jc w:val="center"/>
              <w:rPr>
                <w:rFonts w:ascii="Arial" w:hAnsi="Arial" w:cs="Arial"/>
                <w:b/>
                <w:sz w:val="24"/>
                <w:szCs w:val="24"/>
                <w:lang w:eastAsia="es-MX"/>
              </w:rPr>
            </w:pPr>
            <w:bookmarkStart w:id="2" w:name="cuerpo"/>
            <w:bookmarkEnd w:id="2"/>
            <w:r w:rsidRPr="00220D09">
              <w:rPr>
                <w:rFonts w:ascii="Arial" w:hAnsi="Arial" w:cs="Arial"/>
                <w:b/>
                <w:sz w:val="24"/>
                <w:szCs w:val="24"/>
                <w:lang w:eastAsia="es-MX"/>
              </w:rPr>
              <w:t>NOTAS A LOS ESTADOS FINANCIEROS</w:t>
            </w:r>
          </w:p>
          <w:p w14:paraId="5542AA66" w14:textId="22E881C3" w:rsidR="00E81301" w:rsidRPr="00220D09" w:rsidRDefault="007B28F4" w:rsidP="005772CC">
            <w:pPr>
              <w:spacing w:after="0" w:line="240" w:lineRule="auto"/>
              <w:jc w:val="center"/>
              <w:rPr>
                <w:rFonts w:ascii="Arial" w:hAnsi="Arial" w:cs="Arial"/>
                <w:b/>
                <w:sz w:val="24"/>
                <w:szCs w:val="24"/>
                <w:lang w:eastAsia="es-MX"/>
              </w:rPr>
            </w:pPr>
            <w:r w:rsidRPr="00220D09">
              <w:rPr>
                <w:rFonts w:ascii="Arial" w:hAnsi="Arial" w:cs="Arial"/>
                <w:b/>
                <w:sz w:val="24"/>
                <w:szCs w:val="24"/>
                <w:lang w:eastAsia="es-MX"/>
              </w:rPr>
              <w:t>ENERO -</w:t>
            </w:r>
            <w:r w:rsidR="006C59FB" w:rsidRPr="00220D09">
              <w:rPr>
                <w:rFonts w:ascii="Arial" w:hAnsi="Arial" w:cs="Arial"/>
                <w:b/>
                <w:sz w:val="24"/>
                <w:szCs w:val="24"/>
                <w:lang w:eastAsia="es-MX"/>
              </w:rPr>
              <w:t xml:space="preserve"> </w:t>
            </w:r>
            <w:r w:rsidR="008F2206">
              <w:rPr>
                <w:rFonts w:ascii="Arial" w:hAnsi="Arial" w:cs="Arial"/>
                <w:b/>
                <w:sz w:val="24"/>
                <w:szCs w:val="24"/>
                <w:lang w:eastAsia="es-MX"/>
              </w:rPr>
              <w:t>JUNIO</w:t>
            </w:r>
            <w:r w:rsidR="00E82596" w:rsidRPr="00220D09">
              <w:rPr>
                <w:rFonts w:ascii="Arial" w:hAnsi="Arial" w:cs="Arial"/>
                <w:b/>
                <w:sz w:val="24"/>
                <w:szCs w:val="24"/>
                <w:lang w:eastAsia="es-MX"/>
              </w:rPr>
              <w:t xml:space="preserve"> </w:t>
            </w:r>
            <w:r w:rsidRPr="00220D09">
              <w:rPr>
                <w:rFonts w:ascii="Arial" w:hAnsi="Arial" w:cs="Arial"/>
                <w:b/>
                <w:sz w:val="24"/>
                <w:szCs w:val="24"/>
                <w:lang w:eastAsia="es-MX"/>
              </w:rPr>
              <w:t>2023</w:t>
            </w:r>
          </w:p>
          <w:p w14:paraId="798FDB99" w14:textId="77777777" w:rsidR="00E81301" w:rsidRPr="00220D09" w:rsidRDefault="00E81301" w:rsidP="005772CC">
            <w:pPr>
              <w:spacing w:after="0" w:line="240" w:lineRule="auto"/>
              <w:jc w:val="center"/>
              <w:rPr>
                <w:rFonts w:ascii="Arial" w:hAnsi="Arial" w:cs="Arial"/>
                <w:b/>
                <w:bCs/>
                <w:sz w:val="24"/>
                <w:szCs w:val="24"/>
                <w:lang w:eastAsia="es-MX"/>
              </w:rPr>
            </w:pPr>
            <w:r w:rsidRPr="00220D09">
              <w:rPr>
                <w:rFonts w:ascii="Arial" w:hAnsi="Arial" w:cs="Arial"/>
                <w:b/>
                <w:bCs/>
                <w:sz w:val="24"/>
                <w:szCs w:val="24"/>
                <w:lang w:eastAsia="es-MX"/>
              </w:rPr>
              <w:t>C)</w:t>
            </w:r>
            <w:r w:rsidRPr="00220D09">
              <w:rPr>
                <w:rFonts w:ascii="Arial" w:hAnsi="Arial" w:cs="Arial"/>
                <w:b/>
                <w:bCs/>
                <w:sz w:val="24"/>
                <w:szCs w:val="24"/>
                <w:lang w:eastAsia="es-MX"/>
              </w:rPr>
              <w:tab/>
              <w:t>Notas de Gestión Administrativa</w:t>
            </w:r>
            <w:r w:rsidR="00D07D27" w:rsidRPr="00220D09">
              <w:rPr>
                <w:rFonts w:ascii="Arial" w:hAnsi="Arial" w:cs="Arial"/>
                <w:b/>
                <w:bCs/>
                <w:sz w:val="24"/>
                <w:szCs w:val="24"/>
                <w:lang w:eastAsia="es-MX"/>
              </w:rPr>
              <w:t>.</w:t>
            </w:r>
          </w:p>
          <w:p w14:paraId="1EE886E7" w14:textId="77777777" w:rsidR="00F834D7" w:rsidRPr="006C59FB" w:rsidRDefault="00F834D7" w:rsidP="005772CC">
            <w:pPr>
              <w:spacing w:after="0"/>
              <w:jc w:val="both"/>
              <w:rPr>
                <w:bCs/>
                <w:lang w:eastAsia="es-MX"/>
              </w:rPr>
            </w:pPr>
          </w:p>
          <w:p w14:paraId="598C0B62" w14:textId="77777777" w:rsidR="00E81301" w:rsidRPr="006C59FB" w:rsidRDefault="00E81301" w:rsidP="005772CC">
            <w:pPr>
              <w:pStyle w:val="Subttulo"/>
              <w:numPr>
                <w:ilvl w:val="0"/>
                <w:numId w:val="22"/>
              </w:numPr>
              <w:spacing w:after="0"/>
              <w:rPr>
                <w:lang w:eastAsia="es-MX"/>
              </w:rPr>
            </w:pPr>
            <w:r w:rsidRPr="006C59FB">
              <w:rPr>
                <w:lang w:eastAsia="es-MX"/>
              </w:rPr>
              <w:t>Introducción.</w:t>
            </w:r>
          </w:p>
          <w:p w14:paraId="6C9D82AB" w14:textId="77777777" w:rsidR="00E81301" w:rsidRDefault="00E81301" w:rsidP="005772CC">
            <w:pPr>
              <w:spacing w:after="0" w:line="360" w:lineRule="auto"/>
              <w:jc w:val="both"/>
              <w:rPr>
                <w:lang w:eastAsia="es-MX"/>
              </w:rPr>
            </w:pPr>
            <w:r w:rsidRPr="006C59FB">
              <w:rPr>
                <w:lang w:eastAsia="es-MX"/>
              </w:rPr>
              <w:t>Los Estados Financieros del Ayuntamiento del Municipio de Zapopan, proveen de información financiera a los principales usuarios de la misma, al Congreso del Estado</w:t>
            </w:r>
            <w:r w:rsidR="00874C53" w:rsidRPr="006C59FB">
              <w:rPr>
                <w:lang w:eastAsia="es-MX"/>
              </w:rPr>
              <w:t>,</w:t>
            </w:r>
            <w:r w:rsidRPr="006C59FB">
              <w:rPr>
                <w:lang w:eastAsia="es-MX"/>
              </w:rPr>
              <w:t xml:space="preserve"> </w:t>
            </w:r>
            <w:r w:rsidR="00874C53" w:rsidRPr="006C59FB">
              <w:rPr>
                <w:lang w:eastAsia="es-MX"/>
              </w:rPr>
              <w:t xml:space="preserve">la </w:t>
            </w:r>
            <w:r w:rsidR="00541911" w:rsidRPr="006C59FB">
              <w:rPr>
                <w:lang w:eastAsia="es-MX"/>
              </w:rPr>
              <w:t xml:space="preserve">Auditoria Superior del Estado de Jalisco </w:t>
            </w:r>
            <w:r w:rsidRPr="006C59FB">
              <w:rPr>
                <w:lang w:eastAsia="es-MX"/>
              </w:rPr>
              <w:t>y a la ciudadanía en general.</w:t>
            </w:r>
          </w:p>
          <w:p w14:paraId="71AAD2AE" w14:textId="77777777" w:rsidR="006C59FB" w:rsidRPr="006C59FB" w:rsidRDefault="006C59FB" w:rsidP="005772CC">
            <w:pPr>
              <w:spacing w:after="0"/>
              <w:jc w:val="both"/>
              <w:rPr>
                <w:lang w:eastAsia="es-MX"/>
              </w:rPr>
            </w:pPr>
          </w:p>
          <w:p w14:paraId="41614117" w14:textId="77777777" w:rsidR="00E81301" w:rsidRDefault="00E81301" w:rsidP="005772CC">
            <w:pPr>
              <w:spacing w:after="0" w:line="360" w:lineRule="auto"/>
              <w:jc w:val="both"/>
              <w:rPr>
                <w:lang w:eastAsia="es-MX"/>
              </w:rPr>
            </w:pPr>
            <w:r w:rsidRPr="006C59FB">
              <w:rPr>
                <w:lang w:eastAsia="es-MX"/>
              </w:rPr>
              <w:t xml:space="preserve">El presente documento </w:t>
            </w:r>
            <w:r w:rsidR="005E5F3C" w:rsidRPr="006C59FB">
              <w:rPr>
                <w:lang w:eastAsia="es-MX"/>
              </w:rPr>
              <w:t xml:space="preserve">consta de dos partes y tiene como objetivo establecer </w:t>
            </w:r>
            <w:r w:rsidRPr="006C59FB">
              <w:rPr>
                <w:lang w:eastAsia="es-MX"/>
              </w:rPr>
              <w:t xml:space="preserve">la revelación de los aspectos económicos-financieros </w:t>
            </w:r>
            <w:r w:rsidR="005E5F3C" w:rsidRPr="006C59FB">
              <w:rPr>
                <w:lang w:eastAsia="es-MX"/>
              </w:rPr>
              <w:t xml:space="preserve">globales y de contexto </w:t>
            </w:r>
            <w:r w:rsidRPr="006C59FB">
              <w:rPr>
                <w:lang w:eastAsia="es-MX"/>
              </w:rPr>
              <w:t>más relevantes que influyeron en las decisiones</w:t>
            </w:r>
            <w:r w:rsidR="005E5F3C" w:rsidRPr="006C59FB">
              <w:rPr>
                <w:lang w:eastAsia="es-MX"/>
              </w:rPr>
              <w:t xml:space="preserve"> financieras</w:t>
            </w:r>
            <w:r w:rsidRPr="006C59FB">
              <w:rPr>
                <w:lang w:eastAsia="es-MX"/>
              </w:rPr>
              <w:t xml:space="preserve"> del período, que deberán ser considerados en la elaboración de los estados financieros para la mayor comprensión de los mismos y sus particularidades.</w:t>
            </w:r>
          </w:p>
          <w:p w14:paraId="4B0AEE24" w14:textId="77777777" w:rsidR="006C59FB" w:rsidRPr="006C59FB" w:rsidRDefault="006C59FB" w:rsidP="005772CC">
            <w:pPr>
              <w:spacing w:after="0"/>
              <w:jc w:val="both"/>
              <w:rPr>
                <w:lang w:eastAsia="es-MX"/>
              </w:rPr>
            </w:pPr>
          </w:p>
          <w:p w14:paraId="7D5EAC4C" w14:textId="77777777" w:rsidR="00E81301" w:rsidRPr="006C59FB" w:rsidRDefault="00E81301" w:rsidP="005772CC">
            <w:pPr>
              <w:spacing w:after="0" w:line="360" w:lineRule="auto"/>
              <w:jc w:val="both"/>
              <w:rPr>
                <w:lang w:eastAsia="es-MX"/>
              </w:rPr>
            </w:pPr>
            <w:r w:rsidRPr="006C59FB">
              <w:rPr>
                <w:lang w:eastAsia="es-MX"/>
              </w:rPr>
              <w:t>De esta manera, se informa y explica la respuesta del Ayuntamiento del Municipio de Zapopan a las condiciones relacionadas con la información financiera de cada período de gestión; además, de exponer aquellas políticas que podrían afectar la toma de decisiones en períodos posteriores.</w:t>
            </w:r>
          </w:p>
          <w:p w14:paraId="3404DBEB" w14:textId="77777777" w:rsidR="005E5F3C" w:rsidRPr="006C59FB" w:rsidRDefault="005E5F3C" w:rsidP="005772CC">
            <w:pPr>
              <w:spacing w:after="0"/>
              <w:jc w:val="both"/>
              <w:rPr>
                <w:lang w:eastAsia="es-MX"/>
              </w:rPr>
            </w:pPr>
          </w:p>
          <w:p w14:paraId="39758709" w14:textId="77777777" w:rsidR="00E82596" w:rsidRPr="00560BC4" w:rsidRDefault="00E81301" w:rsidP="005772CC">
            <w:pPr>
              <w:pStyle w:val="Subttulo"/>
              <w:numPr>
                <w:ilvl w:val="0"/>
                <w:numId w:val="22"/>
              </w:numPr>
              <w:spacing w:after="0"/>
              <w:rPr>
                <w:lang w:eastAsia="es-MX"/>
              </w:rPr>
            </w:pPr>
            <w:r w:rsidRPr="00560BC4">
              <w:rPr>
                <w:lang w:eastAsia="es-MX"/>
              </w:rPr>
              <w:t>Panorama Económico y Financiero.</w:t>
            </w:r>
          </w:p>
          <w:p w14:paraId="6CCA34BD" w14:textId="77777777" w:rsidR="000F7FD3" w:rsidRPr="00220D09" w:rsidRDefault="000F7FD3" w:rsidP="005772CC">
            <w:pPr>
              <w:pStyle w:val="Prrafodelista"/>
              <w:numPr>
                <w:ilvl w:val="0"/>
                <w:numId w:val="23"/>
              </w:numPr>
              <w:spacing w:after="0"/>
              <w:jc w:val="both"/>
              <w:rPr>
                <w:rStyle w:val="nfasissutil"/>
              </w:rPr>
            </w:pPr>
            <w:r w:rsidRPr="00220D09">
              <w:rPr>
                <w:rStyle w:val="nfasissutil"/>
              </w:rPr>
              <w:t xml:space="preserve">Actividad Económica </w:t>
            </w:r>
          </w:p>
          <w:p w14:paraId="24563A03" w14:textId="77777777" w:rsidR="00830513" w:rsidRPr="006C59FB" w:rsidRDefault="008739D9" w:rsidP="005772CC">
            <w:pPr>
              <w:spacing w:after="0" w:line="360" w:lineRule="auto"/>
              <w:jc w:val="both"/>
            </w:pPr>
            <w:r w:rsidRPr="006C59FB">
              <w:t>De acuerdo con información pu</w:t>
            </w:r>
            <w:r w:rsidR="00830513" w:rsidRPr="006C59FB">
              <w:t>blica</w:t>
            </w:r>
            <w:r w:rsidRPr="006C59FB">
              <w:t>da</w:t>
            </w:r>
            <w:r w:rsidR="00830513" w:rsidRPr="006C59FB">
              <w:t xml:space="preserve"> en </w:t>
            </w:r>
            <w:r w:rsidR="00077CD4" w:rsidRPr="006C59FB">
              <w:t>noviembre</w:t>
            </w:r>
            <w:r w:rsidR="00830513" w:rsidRPr="006C59FB">
              <w:t xml:space="preserve"> del 2022 por parte del Banco de México</w:t>
            </w:r>
            <w:r w:rsidR="00EA4AEE" w:rsidRPr="006C59FB">
              <w:t xml:space="preserve"> (BANXICO)</w:t>
            </w:r>
            <w:r w:rsidR="00830513" w:rsidRPr="006C59FB">
              <w:t>, referente a la actividad económica mundial</w:t>
            </w:r>
            <w:r w:rsidR="001175F5" w:rsidRPr="006C59FB">
              <w:t xml:space="preserve">, esta </w:t>
            </w:r>
            <w:r w:rsidR="00077CD4" w:rsidRPr="006C59FB">
              <w:t>mostr</w:t>
            </w:r>
            <w:r w:rsidR="001175F5" w:rsidRPr="006C59FB">
              <w:t>ó</w:t>
            </w:r>
            <w:r w:rsidR="00077CD4" w:rsidRPr="006C59FB">
              <w:t xml:space="preserve"> una estabilización durante el tercer trimestre</w:t>
            </w:r>
            <w:r w:rsidR="00830513" w:rsidRPr="006C59FB">
              <w:t xml:space="preserve"> de </w:t>
            </w:r>
            <w:r w:rsidR="005E5F3C" w:rsidRPr="006C59FB">
              <w:t>2022, esto</w:t>
            </w:r>
            <w:r w:rsidR="00830513" w:rsidRPr="006C59FB">
              <w:t xml:space="preserve"> </w:t>
            </w:r>
            <w:r w:rsidR="00077CD4" w:rsidRPr="006C59FB">
              <w:t>debido</w:t>
            </w:r>
            <w:r w:rsidR="00830513" w:rsidRPr="006C59FB">
              <w:t xml:space="preserve"> principalmente a l</w:t>
            </w:r>
            <w:r w:rsidR="00077CD4" w:rsidRPr="006C59FB">
              <w:t>a apertura progresiva en la actividad económica de China y un repunte en la economía de Estados Unidos. Por otro lado, el comercio mundial mostro un ritmo desacelerado durante este trimestre puesto que los altos niveles de inflación global y las afectaciones por el conflicto Rusia-Ucrania no han permitido la normalidad económica en diversas regiones</w:t>
            </w:r>
            <w:r w:rsidR="005E5F3C" w:rsidRPr="006C59FB">
              <w:t>, reflejado en el comportamiento del Producto Interno Bruto (PIB)</w:t>
            </w:r>
            <w:r w:rsidR="00077CD4" w:rsidRPr="006C59FB">
              <w:t>.</w:t>
            </w:r>
          </w:p>
          <w:p w14:paraId="1AFC489A" w14:textId="77777777" w:rsidR="00077CD4" w:rsidRPr="006C59FB" w:rsidRDefault="00077CD4" w:rsidP="005772CC">
            <w:pPr>
              <w:spacing w:after="0"/>
              <w:jc w:val="center"/>
            </w:pPr>
            <w:r w:rsidRPr="006C59FB">
              <w:rPr>
                <w:noProof/>
              </w:rPr>
              <w:lastRenderedPageBreak/>
              <w:drawing>
                <wp:inline distT="0" distB="0" distL="0" distR="0" wp14:anchorId="2D5C09B5" wp14:editId="3EED4171">
                  <wp:extent cx="3209925" cy="315410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5118"/>
                          <a:stretch/>
                        </pic:blipFill>
                        <pic:spPr bwMode="auto">
                          <a:xfrm>
                            <a:off x="0" y="0"/>
                            <a:ext cx="3209925" cy="3154104"/>
                          </a:xfrm>
                          <a:prstGeom prst="rect">
                            <a:avLst/>
                          </a:prstGeom>
                          <a:ln>
                            <a:noFill/>
                          </a:ln>
                          <a:extLst>
                            <a:ext uri="{53640926-AAD7-44D8-BBD7-CCE9431645EC}">
                              <a14:shadowObscured xmlns:a14="http://schemas.microsoft.com/office/drawing/2010/main"/>
                            </a:ext>
                          </a:extLst>
                        </pic:spPr>
                      </pic:pic>
                    </a:graphicData>
                  </a:graphic>
                </wp:inline>
              </w:drawing>
            </w:r>
          </w:p>
          <w:p w14:paraId="5B7A08AC" w14:textId="77777777" w:rsidR="00EA4AEE" w:rsidRPr="006C59FB" w:rsidRDefault="00830513" w:rsidP="005772CC">
            <w:pPr>
              <w:spacing w:after="0" w:line="360" w:lineRule="auto"/>
              <w:jc w:val="both"/>
            </w:pPr>
            <w:r w:rsidRPr="006C59FB">
              <w:t xml:space="preserve">Ahora bien, las perspectivas de crecimiento </w:t>
            </w:r>
            <w:r w:rsidR="00EA4AEE" w:rsidRPr="006C59FB">
              <w:t xml:space="preserve">global </w:t>
            </w:r>
            <w:r w:rsidRPr="006C59FB">
              <w:t xml:space="preserve">para 2023 </w:t>
            </w:r>
            <w:r w:rsidR="00EA4AEE" w:rsidRPr="006C59FB">
              <w:t xml:space="preserve">continúan </w:t>
            </w:r>
            <w:r w:rsidRPr="006C59FB">
              <w:t>disminuye</w:t>
            </w:r>
            <w:r w:rsidR="00EA4AEE" w:rsidRPr="006C59FB">
              <w:t xml:space="preserve">ndo </w:t>
            </w:r>
            <w:r w:rsidRPr="006C59FB">
              <w:t xml:space="preserve">respecto a lo </w:t>
            </w:r>
            <w:r w:rsidR="00EA4AEE" w:rsidRPr="006C59FB">
              <w:t>estimado</w:t>
            </w:r>
            <w:r w:rsidRPr="006C59FB">
              <w:t xml:space="preserve"> a inicio </w:t>
            </w:r>
            <w:r w:rsidR="001175F5" w:rsidRPr="006C59FB">
              <w:t>del año</w:t>
            </w:r>
            <w:r w:rsidRPr="006C59FB">
              <w:t>.</w:t>
            </w:r>
            <w:r w:rsidR="00EA4AEE" w:rsidRPr="006C59FB">
              <w:t xml:space="preserve"> De acuerdo con el Banco de México, las perspectivas </w:t>
            </w:r>
            <w:r w:rsidR="001175F5" w:rsidRPr="006C59FB">
              <w:t xml:space="preserve">responden a </w:t>
            </w:r>
            <w:r w:rsidR="00EA4AEE" w:rsidRPr="006C59FB">
              <w:t>diversos factores de rie</w:t>
            </w:r>
            <w:r w:rsidR="001175F5" w:rsidRPr="006C59FB">
              <w:t>s</w:t>
            </w:r>
            <w:r w:rsidR="00EA4AEE" w:rsidRPr="006C59FB">
              <w:t>go</w:t>
            </w:r>
            <w:r w:rsidR="001175F5" w:rsidRPr="006C59FB">
              <w:t>, entre los que destacan los siguientes</w:t>
            </w:r>
            <w:r w:rsidR="00EA4AEE" w:rsidRPr="006C59FB">
              <w:t>:</w:t>
            </w:r>
          </w:p>
          <w:p w14:paraId="73AB8852" w14:textId="77777777" w:rsidR="00EA4AEE" w:rsidRPr="00560BC4" w:rsidRDefault="00EA4AEE" w:rsidP="005772CC">
            <w:pPr>
              <w:spacing w:after="0" w:line="360" w:lineRule="auto"/>
              <w:ind w:left="708" w:right="742"/>
              <w:jc w:val="both"/>
              <w:rPr>
                <w:rStyle w:val="nfasissutil"/>
              </w:rPr>
            </w:pPr>
            <w:r w:rsidRPr="00560BC4">
              <w:rPr>
                <w:rStyle w:val="nfasissutil"/>
              </w:rPr>
              <w:t>“i) El apretamiento más notorio de las condiciones financieras globales ante los incrementos en tasas de interés por parte de los bancos centrales para contener los altos niveles de inflación;</w:t>
            </w:r>
          </w:p>
          <w:p w14:paraId="1699A9D4" w14:textId="77777777" w:rsidR="00EA4AEE" w:rsidRPr="00560BC4" w:rsidRDefault="00EA4AEE" w:rsidP="005772CC">
            <w:pPr>
              <w:spacing w:after="0" w:line="360" w:lineRule="auto"/>
              <w:ind w:left="708" w:right="742"/>
              <w:jc w:val="both"/>
              <w:rPr>
                <w:rStyle w:val="nfasissutil"/>
              </w:rPr>
            </w:pPr>
            <w:proofErr w:type="spellStart"/>
            <w:r w:rsidRPr="00560BC4">
              <w:rPr>
                <w:rStyle w:val="nfasissutil"/>
              </w:rPr>
              <w:t>ii</w:t>
            </w:r>
            <w:proofErr w:type="spellEnd"/>
            <w:r w:rsidRPr="00560BC4">
              <w:rPr>
                <w:rStyle w:val="nfasissutil"/>
              </w:rPr>
              <w:t>) El fortalecimiento del dólar;</w:t>
            </w:r>
          </w:p>
          <w:p w14:paraId="2014DD32" w14:textId="77777777" w:rsidR="00EA4AEE" w:rsidRPr="00560BC4" w:rsidRDefault="00EA4AEE" w:rsidP="005772CC">
            <w:pPr>
              <w:spacing w:after="0" w:line="360" w:lineRule="auto"/>
              <w:ind w:left="708" w:right="742"/>
              <w:jc w:val="both"/>
              <w:rPr>
                <w:rStyle w:val="nfasissutil"/>
              </w:rPr>
            </w:pPr>
            <w:proofErr w:type="spellStart"/>
            <w:r w:rsidRPr="00560BC4">
              <w:rPr>
                <w:rStyle w:val="nfasissutil"/>
              </w:rPr>
              <w:t>iii</w:t>
            </w:r>
            <w:proofErr w:type="spellEnd"/>
            <w:r w:rsidRPr="00560BC4">
              <w:rPr>
                <w:rStyle w:val="nfasissutil"/>
              </w:rPr>
              <w:t>) Una mayor debilidad esperada para la economía china ante la expectativa de que los brotes de COVID-19 continúen derivando en restricciones a la movilidad y de que el deterioro del sector inmobiliario en ese país se agudice; y</w:t>
            </w:r>
          </w:p>
          <w:p w14:paraId="5B767CF6" w14:textId="77777777" w:rsidR="00EA4AEE" w:rsidRPr="006C59FB" w:rsidRDefault="00EA4AEE" w:rsidP="005772CC">
            <w:pPr>
              <w:spacing w:after="0" w:line="360" w:lineRule="auto"/>
              <w:ind w:left="708" w:right="742"/>
              <w:jc w:val="both"/>
              <w:rPr>
                <w:i/>
              </w:rPr>
            </w:pPr>
            <w:proofErr w:type="spellStart"/>
            <w:r w:rsidRPr="00560BC4">
              <w:rPr>
                <w:rStyle w:val="nfasissutil"/>
              </w:rPr>
              <w:t>iv</w:t>
            </w:r>
            <w:proofErr w:type="spellEnd"/>
            <w:r w:rsidRPr="00560BC4">
              <w:rPr>
                <w:rStyle w:val="nfasissutil"/>
              </w:rPr>
              <w:t>) La prolongación del conflicto bélico entre Rusia y Ucrania y la expectativa de que siga ocasionando importantes disrupciones en el abastecimiento de gas a Europa.”</w:t>
            </w:r>
            <w:r w:rsidRPr="006C59FB">
              <w:rPr>
                <w:i/>
              </w:rPr>
              <w:t xml:space="preserve"> </w:t>
            </w:r>
            <w:r w:rsidRPr="006C59FB">
              <w:t>(BANXICO, 2022).</w:t>
            </w:r>
          </w:p>
          <w:p w14:paraId="6BA4D33D" w14:textId="77777777" w:rsidR="00EA4AEE" w:rsidRPr="006C59FB" w:rsidRDefault="00EA4AEE" w:rsidP="005772CC">
            <w:pPr>
              <w:spacing w:after="0"/>
              <w:jc w:val="center"/>
              <w:rPr>
                <w:i/>
              </w:rPr>
            </w:pPr>
            <w:r w:rsidRPr="006C59FB">
              <w:rPr>
                <w:noProof/>
              </w:rPr>
              <w:lastRenderedPageBreak/>
              <w:drawing>
                <wp:inline distT="0" distB="0" distL="0" distR="0" wp14:anchorId="1E521C47" wp14:editId="78E3FAC0">
                  <wp:extent cx="3419475" cy="272762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31451" cy="2737181"/>
                          </a:xfrm>
                          <a:prstGeom prst="rect">
                            <a:avLst/>
                          </a:prstGeom>
                        </pic:spPr>
                      </pic:pic>
                    </a:graphicData>
                  </a:graphic>
                </wp:inline>
              </w:drawing>
            </w:r>
          </w:p>
          <w:p w14:paraId="2D48BE40" w14:textId="383C54AE" w:rsidR="00CC46E1" w:rsidRPr="006C59FB" w:rsidRDefault="00CC46E1" w:rsidP="00A51536">
            <w:pPr>
              <w:spacing w:after="0" w:line="360" w:lineRule="auto"/>
              <w:jc w:val="both"/>
            </w:pPr>
            <w:r w:rsidRPr="006C59FB">
              <w:t>Adicionalmente</w:t>
            </w:r>
            <w:r w:rsidR="00EA4AEE" w:rsidRPr="006C59FB">
              <w:t xml:space="preserve">, el Fondo Monetario Internacional (FMI), </w:t>
            </w:r>
            <w:r w:rsidRPr="006C59FB">
              <w:t>pronostica que los altos niveles de inflación aumente</w:t>
            </w:r>
            <w:r w:rsidR="001175F5" w:rsidRPr="006C59FB">
              <w:t>n</w:t>
            </w:r>
            <w:r w:rsidRPr="006C59FB">
              <w:t xml:space="preserve"> hacia </w:t>
            </w:r>
            <w:r w:rsidR="002D6E72">
              <w:t>3.4</w:t>
            </w:r>
            <w:r w:rsidRPr="006C59FB">
              <w:t xml:space="preserve">% para 2022, </w:t>
            </w:r>
            <w:r w:rsidR="002D6E72">
              <w:t>2.8</w:t>
            </w:r>
            <w:r w:rsidRPr="006C59FB">
              <w:t xml:space="preserve">% en 2023 y </w:t>
            </w:r>
            <w:r w:rsidR="002D6E72">
              <w:t>3.0</w:t>
            </w:r>
            <w:r w:rsidRPr="006C59FB">
              <w:t>% en 2024. Por lo anterior, se han establecido nuevas proyecciones de crecimiento en las diferentes regiones</w:t>
            </w:r>
            <w:r w:rsidR="001175F5" w:rsidRPr="006C59FB">
              <w:t xml:space="preserve"> del mundo</w:t>
            </w:r>
            <w:r w:rsidRPr="006C59FB">
              <w:t>, mismas que se muestran a continuación:</w:t>
            </w:r>
          </w:p>
          <w:p w14:paraId="5AB77716" w14:textId="40DE29FE" w:rsidR="00EA4AEE" w:rsidRPr="006C59FB" w:rsidRDefault="00787204" w:rsidP="005772CC">
            <w:pPr>
              <w:spacing w:after="0"/>
              <w:jc w:val="center"/>
            </w:pPr>
            <w:r>
              <w:rPr>
                <w:noProof/>
              </w:rPr>
              <w:drawing>
                <wp:inline distT="0" distB="0" distL="0" distR="0" wp14:anchorId="6CA1026C" wp14:editId="2E3ED709">
                  <wp:extent cx="3267075" cy="4157454"/>
                  <wp:effectExtent l="0" t="0" r="0" b="0"/>
                  <wp:docPr id="7" name="Imagen 7" descr="https://www.imf.org/-/media/Images/IMF/Publications/WEO/2023/April/Spanish/WEO-Chart-APRIL-2023-withoutASEAN-SPA.ashx?h=4720&amp;w=2600&amp;l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mf.org/-/media/Images/IMF/Publications/WEO/2023/April/Spanish/WEO-Chart-APRIL-2023-withoutASEAN-SPA.ashx?h=4720&amp;w=2600&amp;la=e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3334" b="16568"/>
                          <a:stretch/>
                        </pic:blipFill>
                        <pic:spPr bwMode="auto">
                          <a:xfrm>
                            <a:off x="0" y="0"/>
                            <a:ext cx="3278249" cy="4171673"/>
                          </a:xfrm>
                          <a:prstGeom prst="rect">
                            <a:avLst/>
                          </a:prstGeom>
                          <a:noFill/>
                          <a:ln>
                            <a:noFill/>
                          </a:ln>
                          <a:extLst>
                            <a:ext uri="{53640926-AAD7-44D8-BBD7-CCE9431645EC}">
                              <a14:shadowObscured xmlns:a14="http://schemas.microsoft.com/office/drawing/2010/main"/>
                            </a:ext>
                          </a:extLst>
                        </pic:spPr>
                      </pic:pic>
                    </a:graphicData>
                  </a:graphic>
                </wp:inline>
              </w:drawing>
            </w:r>
          </w:p>
          <w:p w14:paraId="3BF010D9" w14:textId="67BD577F" w:rsidR="002D6E72" w:rsidRPr="006C59FB" w:rsidRDefault="00CC46E1" w:rsidP="005772CC">
            <w:pPr>
              <w:spacing w:after="0" w:line="360" w:lineRule="auto"/>
              <w:jc w:val="both"/>
            </w:pPr>
            <w:r w:rsidRPr="006C59FB">
              <w:lastRenderedPageBreak/>
              <w:t xml:space="preserve">En México, las perspectivas persiguen la dinámica global, de acuerdo con información de la Organización para la Cooperación y el Desarrollo Económicos (OCDE), las condiciones económicas en México estarán </w:t>
            </w:r>
            <w:r w:rsidR="00D94081" w:rsidRPr="006C59FB">
              <w:t>e</w:t>
            </w:r>
            <w:r w:rsidR="001175F5" w:rsidRPr="006C59FB">
              <w:t>n</w:t>
            </w:r>
            <w:r w:rsidR="00D94081" w:rsidRPr="006C59FB">
              <w:t xml:space="preserve"> función </w:t>
            </w:r>
            <w:r w:rsidR="001175F5" w:rsidRPr="006C59FB">
              <w:t>de</w:t>
            </w:r>
            <w:r w:rsidR="00D94081" w:rsidRPr="006C59FB">
              <w:t xml:space="preserve"> lo siguiente:</w:t>
            </w:r>
          </w:p>
          <w:p w14:paraId="4FF608EF" w14:textId="177AA87F" w:rsidR="00D94081" w:rsidRPr="006C59FB" w:rsidRDefault="00D94081" w:rsidP="005772CC">
            <w:pPr>
              <w:spacing w:line="360" w:lineRule="auto"/>
              <w:jc w:val="both"/>
            </w:pPr>
            <w:r w:rsidRPr="00560BC4">
              <w:rPr>
                <w:rStyle w:val="nfasissutil"/>
              </w:rPr>
              <w:t>“</w:t>
            </w:r>
            <w:r w:rsidR="002D6E72">
              <w:rPr>
                <w:rStyle w:val="nfasissutil"/>
              </w:rPr>
              <w:t>El</w:t>
            </w:r>
            <w:r w:rsidR="002D6E72" w:rsidRPr="002D6E72">
              <w:rPr>
                <w:rStyle w:val="nfasissutil"/>
              </w:rPr>
              <w:t xml:space="preserve"> crecimiento caerá desde 3,4% en 2022 a 2,8% en 2023, antes de estabilizarse en 3,0% en 2024. Se prevé que las economías avanzadas experimenten una desaceleración del crecimiento especialmente pronunciada, desde 2,7% en 2022 a 1,3% en 2023</w:t>
            </w:r>
            <w:r w:rsidR="002D6E72">
              <w:rPr>
                <w:rStyle w:val="nfasissutil"/>
              </w:rPr>
              <w:t xml:space="preserve">. </w:t>
            </w:r>
            <w:r w:rsidR="002D6E72" w:rsidRPr="002D6E72">
              <w:rPr>
                <w:rStyle w:val="nfasissutil"/>
              </w:rPr>
              <w:t>En el escenario base, el nivel general de inflación disminuye de 8,7% en 2022 a 7,0% en 2023 debido a los menores precios de las materias primas, aunque es probable que la inflación subyacente disminuya con más lentitud</w:t>
            </w:r>
            <w:r w:rsidRPr="00560BC4">
              <w:rPr>
                <w:rStyle w:val="nfasissutil"/>
              </w:rPr>
              <w:t>.”</w:t>
            </w:r>
            <w:r w:rsidRPr="006C59FB">
              <w:t xml:space="preserve"> (OCDE, </w:t>
            </w:r>
            <w:r w:rsidR="002D6E72">
              <w:t>2023</w:t>
            </w:r>
            <w:r w:rsidRPr="006C59FB">
              <w:t>).</w:t>
            </w:r>
          </w:p>
          <w:p w14:paraId="2CC1870D" w14:textId="77777777" w:rsidR="00D94081" w:rsidRPr="006C59FB" w:rsidRDefault="00D94081" w:rsidP="005772CC">
            <w:pPr>
              <w:spacing w:after="0"/>
              <w:jc w:val="center"/>
            </w:pPr>
            <w:r w:rsidRPr="006C59FB">
              <w:rPr>
                <w:noProof/>
              </w:rPr>
              <w:drawing>
                <wp:inline distT="0" distB="0" distL="0" distR="0" wp14:anchorId="3B7A35E9" wp14:editId="5A72FEBD">
                  <wp:extent cx="5120455" cy="4125432"/>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61811" cy="4158752"/>
                          </a:xfrm>
                          <a:prstGeom prst="rect">
                            <a:avLst/>
                          </a:prstGeom>
                        </pic:spPr>
                      </pic:pic>
                    </a:graphicData>
                  </a:graphic>
                </wp:inline>
              </w:drawing>
            </w:r>
          </w:p>
          <w:p w14:paraId="1766C97A" w14:textId="77777777" w:rsidR="00812B77" w:rsidRDefault="00812B77" w:rsidP="005772CC">
            <w:pPr>
              <w:spacing w:after="0"/>
              <w:jc w:val="both"/>
            </w:pPr>
          </w:p>
          <w:p w14:paraId="5D4C194C" w14:textId="77777777" w:rsidR="00220D09" w:rsidRDefault="00220D09" w:rsidP="005772CC">
            <w:pPr>
              <w:spacing w:after="0"/>
              <w:jc w:val="both"/>
            </w:pPr>
          </w:p>
          <w:p w14:paraId="4B73597E" w14:textId="77777777" w:rsidR="00220D09" w:rsidRDefault="00220D09" w:rsidP="005772CC">
            <w:pPr>
              <w:spacing w:after="0"/>
              <w:jc w:val="both"/>
            </w:pPr>
          </w:p>
          <w:p w14:paraId="233D0B4B" w14:textId="77777777" w:rsidR="00220D09" w:rsidRDefault="00220D09" w:rsidP="005772CC">
            <w:pPr>
              <w:spacing w:after="0"/>
              <w:jc w:val="both"/>
            </w:pPr>
          </w:p>
          <w:p w14:paraId="3A680E7E" w14:textId="77777777" w:rsidR="005772CC" w:rsidRDefault="005772CC" w:rsidP="005772CC">
            <w:pPr>
              <w:spacing w:after="0"/>
              <w:jc w:val="both"/>
            </w:pPr>
          </w:p>
          <w:p w14:paraId="4500C7A6" w14:textId="77777777" w:rsidR="005772CC" w:rsidRDefault="005772CC" w:rsidP="005772CC">
            <w:pPr>
              <w:spacing w:after="0"/>
              <w:jc w:val="both"/>
            </w:pPr>
          </w:p>
          <w:p w14:paraId="49F7F6E8" w14:textId="77777777" w:rsidR="005772CC" w:rsidRDefault="005772CC" w:rsidP="005772CC">
            <w:pPr>
              <w:spacing w:after="0"/>
              <w:jc w:val="both"/>
            </w:pPr>
          </w:p>
          <w:p w14:paraId="48C806AF" w14:textId="77777777" w:rsidR="005772CC" w:rsidRPr="006C59FB" w:rsidRDefault="005772CC" w:rsidP="005772CC">
            <w:pPr>
              <w:spacing w:after="0"/>
              <w:jc w:val="both"/>
            </w:pPr>
          </w:p>
          <w:p w14:paraId="3CB550B3" w14:textId="77777777" w:rsidR="007B28F4" w:rsidRPr="006C59FB" w:rsidRDefault="00D94081" w:rsidP="005772CC">
            <w:pPr>
              <w:spacing w:after="0" w:line="360" w:lineRule="auto"/>
              <w:jc w:val="both"/>
            </w:pPr>
            <w:r w:rsidRPr="006C59FB">
              <w:lastRenderedPageBreak/>
              <w:t>Ahora bien</w:t>
            </w:r>
            <w:r w:rsidR="00DD137C" w:rsidRPr="006C59FB">
              <w:t xml:space="preserve">, </w:t>
            </w:r>
            <w:r w:rsidRPr="006C59FB">
              <w:t xml:space="preserve">la actividad económica en México </w:t>
            </w:r>
            <w:r w:rsidR="00DD137C" w:rsidRPr="006C59FB">
              <w:t xml:space="preserve">presento </w:t>
            </w:r>
            <w:r w:rsidR="00686C55" w:rsidRPr="006C59FB">
              <w:t>un</w:t>
            </w:r>
            <w:r w:rsidR="00DD137C" w:rsidRPr="006C59FB">
              <w:t xml:space="preserve">a </w:t>
            </w:r>
            <w:r w:rsidR="00686C55" w:rsidRPr="006C59FB">
              <w:t xml:space="preserve">aceleración en </w:t>
            </w:r>
            <w:r w:rsidR="007B28F4" w:rsidRPr="006C59FB">
              <w:t>marzo</w:t>
            </w:r>
            <w:r w:rsidR="00DD137C" w:rsidRPr="006C59FB">
              <w:t xml:space="preserve">, lo anterior de </w:t>
            </w:r>
            <w:r w:rsidR="00686C55" w:rsidRPr="006C59FB">
              <w:t xml:space="preserve">acuerdo </w:t>
            </w:r>
            <w:r w:rsidR="00DD137C" w:rsidRPr="006C59FB">
              <w:t xml:space="preserve">con el Indicador Oportuno de la Actividad Económica (IOAE), pues según el INEGI, </w:t>
            </w:r>
            <w:r w:rsidR="00EA4AEE" w:rsidRPr="006C59FB">
              <w:t xml:space="preserve">esta </w:t>
            </w:r>
            <w:r w:rsidR="00686C55" w:rsidRPr="006C59FB">
              <w:t>presentó</w:t>
            </w:r>
            <w:r w:rsidR="00DD137C" w:rsidRPr="006C59FB">
              <w:t xml:space="preserve"> una variación mensual del Indicador Global de Actividad Económica (IGAE) con un </w:t>
            </w:r>
            <w:r w:rsidR="007B28F4" w:rsidRPr="006C59FB">
              <w:t>acenso</w:t>
            </w:r>
            <w:r w:rsidR="00DD137C" w:rsidRPr="006C59FB">
              <w:t xml:space="preserve"> de </w:t>
            </w:r>
            <w:r w:rsidR="007B28F4" w:rsidRPr="006C59FB">
              <w:t>3.83</w:t>
            </w:r>
            <w:r w:rsidR="00DD137C" w:rsidRPr="006C59FB">
              <w:t xml:space="preserve"> por ciento en el </w:t>
            </w:r>
            <w:r w:rsidR="007B28F4" w:rsidRPr="006C59FB">
              <w:t>tercer</w:t>
            </w:r>
            <w:r w:rsidR="00686C55" w:rsidRPr="006C59FB">
              <w:t xml:space="preserve"> </w:t>
            </w:r>
            <w:r w:rsidR="00DD137C" w:rsidRPr="006C59FB">
              <w:t>mes del año.</w:t>
            </w:r>
          </w:p>
          <w:p w14:paraId="12E5B6CD" w14:textId="0FB70D53" w:rsidR="0003182E" w:rsidRPr="006C59FB" w:rsidRDefault="00DA407E" w:rsidP="005772CC">
            <w:pPr>
              <w:spacing w:after="0"/>
              <w:jc w:val="center"/>
            </w:pPr>
            <w:r w:rsidRPr="00DA407E">
              <w:rPr>
                <w:noProof/>
              </w:rPr>
              <w:drawing>
                <wp:inline distT="0" distB="0" distL="0" distR="0" wp14:anchorId="7C86EE15" wp14:editId="5F68A007">
                  <wp:extent cx="5430008" cy="4334480"/>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30008" cy="4334480"/>
                          </a:xfrm>
                          <a:prstGeom prst="rect">
                            <a:avLst/>
                          </a:prstGeom>
                        </pic:spPr>
                      </pic:pic>
                    </a:graphicData>
                  </a:graphic>
                </wp:inline>
              </w:drawing>
            </w:r>
          </w:p>
          <w:p w14:paraId="11A28CCC" w14:textId="77777777" w:rsidR="00812B77" w:rsidRPr="006C59FB" w:rsidRDefault="00812B77" w:rsidP="005772CC">
            <w:pPr>
              <w:spacing w:after="0"/>
              <w:jc w:val="both"/>
            </w:pPr>
          </w:p>
          <w:p w14:paraId="24003C09" w14:textId="77777777" w:rsidR="00812B77" w:rsidRPr="006C59FB" w:rsidRDefault="00812B77" w:rsidP="005772CC">
            <w:pPr>
              <w:spacing w:after="0"/>
              <w:jc w:val="both"/>
            </w:pPr>
          </w:p>
          <w:p w14:paraId="380BFB83" w14:textId="77777777" w:rsidR="00812B77" w:rsidRPr="006C59FB" w:rsidRDefault="00812B77" w:rsidP="005772CC">
            <w:pPr>
              <w:spacing w:after="0"/>
              <w:jc w:val="both"/>
            </w:pPr>
          </w:p>
          <w:p w14:paraId="3EBCAD0D" w14:textId="77777777" w:rsidR="00812B77" w:rsidRPr="006C59FB" w:rsidRDefault="00812B77" w:rsidP="005772CC">
            <w:pPr>
              <w:spacing w:after="0"/>
              <w:jc w:val="both"/>
            </w:pPr>
          </w:p>
          <w:p w14:paraId="6747AB1B" w14:textId="77777777" w:rsidR="00812B77" w:rsidRDefault="00812B77" w:rsidP="005772CC">
            <w:pPr>
              <w:spacing w:after="0"/>
              <w:jc w:val="both"/>
            </w:pPr>
          </w:p>
          <w:p w14:paraId="437C0D6A" w14:textId="77777777" w:rsidR="00220D09" w:rsidRDefault="00220D09" w:rsidP="005772CC">
            <w:pPr>
              <w:spacing w:after="0"/>
              <w:jc w:val="both"/>
            </w:pPr>
          </w:p>
          <w:p w14:paraId="091B76D9" w14:textId="77777777" w:rsidR="00220D09" w:rsidRDefault="00220D09" w:rsidP="005772CC">
            <w:pPr>
              <w:spacing w:after="0"/>
              <w:jc w:val="both"/>
            </w:pPr>
          </w:p>
          <w:p w14:paraId="7DAB266A" w14:textId="77777777" w:rsidR="00220D09" w:rsidRDefault="00220D09" w:rsidP="005772CC">
            <w:pPr>
              <w:spacing w:after="0"/>
              <w:jc w:val="both"/>
            </w:pPr>
          </w:p>
          <w:p w14:paraId="29EDAA91" w14:textId="77777777" w:rsidR="00220D09" w:rsidRDefault="00220D09" w:rsidP="005772CC">
            <w:pPr>
              <w:spacing w:after="0"/>
              <w:jc w:val="both"/>
            </w:pPr>
          </w:p>
          <w:p w14:paraId="1DB55279" w14:textId="77777777" w:rsidR="005772CC" w:rsidRDefault="005772CC" w:rsidP="005772CC">
            <w:pPr>
              <w:spacing w:after="0"/>
              <w:jc w:val="both"/>
            </w:pPr>
          </w:p>
          <w:p w14:paraId="50299E9C" w14:textId="77777777" w:rsidR="005772CC" w:rsidRDefault="005772CC" w:rsidP="005772CC">
            <w:pPr>
              <w:spacing w:after="0"/>
              <w:jc w:val="both"/>
            </w:pPr>
          </w:p>
          <w:p w14:paraId="67B6986B" w14:textId="77777777" w:rsidR="00A51536" w:rsidRDefault="00A51536" w:rsidP="005772CC">
            <w:pPr>
              <w:spacing w:after="0"/>
              <w:jc w:val="both"/>
            </w:pPr>
          </w:p>
          <w:p w14:paraId="6302213A" w14:textId="77777777" w:rsidR="00A51536" w:rsidRPr="006C59FB" w:rsidRDefault="00A51536" w:rsidP="005772CC">
            <w:pPr>
              <w:spacing w:after="0"/>
              <w:jc w:val="both"/>
            </w:pPr>
          </w:p>
          <w:p w14:paraId="63C19E89" w14:textId="13B6FA6B" w:rsidR="00DD137C" w:rsidRPr="006C59FB" w:rsidRDefault="00DD137C" w:rsidP="005772CC">
            <w:pPr>
              <w:spacing w:after="0" w:line="360" w:lineRule="auto"/>
              <w:jc w:val="both"/>
            </w:pPr>
            <w:r w:rsidRPr="006C59FB">
              <w:lastRenderedPageBreak/>
              <w:t xml:space="preserve">Según el IOAE, se estima que la variación mensual presente una ligera </w:t>
            </w:r>
            <w:r w:rsidR="00812B77" w:rsidRPr="006C59FB">
              <w:t>ampliación</w:t>
            </w:r>
            <w:r w:rsidRPr="006C59FB">
              <w:t xml:space="preserve"> de </w:t>
            </w:r>
            <w:r w:rsidR="00444FF5">
              <w:t>2.52</w:t>
            </w:r>
            <w:r w:rsidRPr="006C59FB">
              <w:t xml:space="preserve"> por ciento en lo respectivo a las actividades terciarias</w:t>
            </w:r>
            <w:r w:rsidR="0098575E" w:rsidRPr="006C59FB">
              <w:t>.</w:t>
            </w:r>
          </w:p>
          <w:p w14:paraId="15EBE043" w14:textId="5E9ACE00" w:rsidR="00BC2866" w:rsidRPr="006C59FB" w:rsidRDefault="00444FF5" w:rsidP="00A03A43">
            <w:pPr>
              <w:spacing w:after="0"/>
              <w:jc w:val="center"/>
            </w:pPr>
            <w:r w:rsidRPr="00444FF5">
              <w:rPr>
                <w:noProof/>
              </w:rPr>
              <w:drawing>
                <wp:inline distT="0" distB="0" distL="0" distR="0" wp14:anchorId="73DDBA40" wp14:editId="1C3F2ACE">
                  <wp:extent cx="5468113" cy="4382112"/>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8113" cy="4382112"/>
                          </a:xfrm>
                          <a:prstGeom prst="rect">
                            <a:avLst/>
                          </a:prstGeom>
                        </pic:spPr>
                      </pic:pic>
                    </a:graphicData>
                  </a:graphic>
                </wp:inline>
              </w:drawing>
            </w:r>
          </w:p>
          <w:p w14:paraId="150732CC" w14:textId="73372ECD" w:rsidR="00DD137C" w:rsidRPr="00220D09" w:rsidRDefault="00BC2866" w:rsidP="00A03A43">
            <w:pPr>
              <w:spacing w:after="0"/>
              <w:jc w:val="center"/>
              <w:rPr>
                <w:rStyle w:val="Referenciasutil"/>
              </w:rPr>
            </w:pPr>
            <w:r w:rsidRPr="00220D09">
              <w:rPr>
                <w:rStyle w:val="Referenciasutil"/>
              </w:rPr>
              <w:t xml:space="preserve">Ilustración </w:t>
            </w:r>
            <w:r w:rsidR="00E65FDE" w:rsidRPr="00220D09">
              <w:rPr>
                <w:rStyle w:val="Referenciasutil"/>
              </w:rPr>
              <w:fldChar w:fldCharType="begin"/>
            </w:r>
            <w:r w:rsidRPr="00220D09">
              <w:rPr>
                <w:rStyle w:val="Referenciasutil"/>
              </w:rPr>
              <w:instrText xml:space="preserve"> SEQ Ilustración \* ARABIC </w:instrText>
            </w:r>
            <w:r w:rsidR="00E65FDE" w:rsidRPr="00220D09">
              <w:rPr>
                <w:rStyle w:val="Referenciasutil"/>
              </w:rPr>
              <w:fldChar w:fldCharType="separate"/>
            </w:r>
            <w:r w:rsidR="0067576D">
              <w:rPr>
                <w:rStyle w:val="Referenciasutil"/>
                <w:noProof/>
              </w:rPr>
              <w:t>1</w:t>
            </w:r>
            <w:r w:rsidR="00E65FDE" w:rsidRPr="00220D09">
              <w:rPr>
                <w:rStyle w:val="Referenciasutil"/>
              </w:rPr>
              <w:fldChar w:fldCharType="end"/>
            </w:r>
            <w:r w:rsidRPr="00220D09">
              <w:rPr>
                <w:rStyle w:val="Referenciasutil"/>
              </w:rPr>
              <w:t>.- Estimación del IOAE para actividades terciarias - INEGI.</w:t>
            </w:r>
          </w:p>
          <w:p w14:paraId="50348863" w14:textId="77777777" w:rsidR="00DD137C" w:rsidRPr="006C59FB" w:rsidRDefault="00DD137C" w:rsidP="005772CC">
            <w:pPr>
              <w:spacing w:after="0"/>
              <w:jc w:val="both"/>
            </w:pPr>
          </w:p>
          <w:p w14:paraId="0A61145C" w14:textId="77777777" w:rsidR="00812B77" w:rsidRPr="006C59FB" w:rsidRDefault="00812B77" w:rsidP="005772CC">
            <w:pPr>
              <w:spacing w:after="0"/>
              <w:jc w:val="both"/>
            </w:pPr>
          </w:p>
          <w:p w14:paraId="4956D175" w14:textId="77777777" w:rsidR="00812B77" w:rsidRPr="006C59FB" w:rsidRDefault="00812B77" w:rsidP="005772CC">
            <w:pPr>
              <w:spacing w:after="0"/>
              <w:jc w:val="both"/>
            </w:pPr>
          </w:p>
          <w:p w14:paraId="22AE4CA6" w14:textId="77777777" w:rsidR="00812B77" w:rsidRPr="006C59FB" w:rsidRDefault="00812B77" w:rsidP="005772CC">
            <w:pPr>
              <w:spacing w:after="0"/>
              <w:jc w:val="both"/>
            </w:pPr>
          </w:p>
          <w:p w14:paraId="13BF394D" w14:textId="77777777" w:rsidR="00812B77" w:rsidRPr="006C59FB" w:rsidRDefault="00812B77" w:rsidP="005772CC">
            <w:pPr>
              <w:spacing w:after="0"/>
              <w:jc w:val="both"/>
            </w:pPr>
          </w:p>
          <w:p w14:paraId="2A05ECE8" w14:textId="77777777" w:rsidR="00812B77" w:rsidRDefault="00812B77" w:rsidP="005772CC">
            <w:pPr>
              <w:spacing w:after="0"/>
              <w:jc w:val="both"/>
            </w:pPr>
          </w:p>
          <w:p w14:paraId="405E4105" w14:textId="77777777" w:rsidR="00220D09" w:rsidRDefault="00220D09" w:rsidP="005772CC">
            <w:pPr>
              <w:spacing w:after="0"/>
              <w:jc w:val="both"/>
            </w:pPr>
          </w:p>
          <w:p w14:paraId="7AF13441" w14:textId="77777777" w:rsidR="00220D09" w:rsidRDefault="00220D09" w:rsidP="005772CC">
            <w:pPr>
              <w:spacing w:after="0"/>
              <w:jc w:val="both"/>
            </w:pPr>
          </w:p>
          <w:p w14:paraId="126EA0D8" w14:textId="77777777" w:rsidR="00220D09" w:rsidRDefault="00220D09" w:rsidP="005772CC">
            <w:pPr>
              <w:spacing w:after="0"/>
              <w:jc w:val="both"/>
            </w:pPr>
          </w:p>
          <w:p w14:paraId="391D426E" w14:textId="77777777" w:rsidR="005772CC" w:rsidRDefault="005772CC" w:rsidP="005772CC">
            <w:pPr>
              <w:spacing w:after="0"/>
              <w:jc w:val="both"/>
            </w:pPr>
          </w:p>
          <w:p w14:paraId="328A4623" w14:textId="77777777" w:rsidR="005772CC" w:rsidRDefault="005772CC" w:rsidP="005772CC">
            <w:pPr>
              <w:spacing w:after="0"/>
              <w:jc w:val="both"/>
            </w:pPr>
          </w:p>
          <w:p w14:paraId="7DB16DD3" w14:textId="77777777" w:rsidR="005772CC" w:rsidRDefault="005772CC" w:rsidP="005772CC">
            <w:pPr>
              <w:spacing w:after="0"/>
              <w:jc w:val="both"/>
            </w:pPr>
          </w:p>
          <w:p w14:paraId="1ACF31F0" w14:textId="77777777" w:rsidR="005772CC" w:rsidRDefault="005772CC" w:rsidP="005772CC">
            <w:pPr>
              <w:spacing w:after="0"/>
              <w:jc w:val="both"/>
            </w:pPr>
          </w:p>
          <w:p w14:paraId="19BB8873" w14:textId="77777777" w:rsidR="005772CC" w:rsidRDefault="005772CC" w:rsidP="005772CC">
            <w:pPr>
              <w:spacing w:after="0"/>
              <w:jc w:val="both"/>
            </w:pPr>
          </w:p>
          <w:p w14:paraId="4A6E6976" w14:textId="77777777" w:rsidR="005772CC" w:rsidRPr="006C59FB" w:rsidRDefault="005772CC" w:rsidP="005772CC">
            <w:pPr>
              <w:spacing w:after="0"/>
              <w:jc w:val="both"/>
            </w:pPr>
          </w:p>
          <w:p w14:paraId="08D0AADD" w14:textId="40C33E0D" w:rsidR="00DD137C" w:rsidRPr="006C59FB" w:rsidRDefault="00DD137C" w:rsidP="005772CC">
            <w:pPr>
              <w:spacing w:after="0" w:line="360" w:lineRule="auto"/>
              <w:jc w:val="both"/>
            </w:pPr>
            <w:r w:rsidRPr="006C59FB">
              <w:lastRenderedPageBreak/>
              <w:t xml:space="preserve">Por </w:t>
            </w:r>
            <w:r w:rsidR="00BC2866" w:rsidRPr="006C59FB">
              <w:t>otro lado</w:t>
            </w:r>
            <w:r w:rsidRPr="006C59FB">
              <w:t xml:space="preserve">, se </w:t>
            </w:r>
            <w:r w:rsidR="00BC2866" w:rsidRPr="006C59FB">
              <w:t>estima</w:t>
            </w:r>
            <w:r w:rsidRPr="006C59FB">
              <w:t xml:space="preserve"> que las actividades secundarias </w:t>
            </w:r>
            <w:r w:rsidR="00BC2866" w:rsidRPr="006C59FB">
              <w:t xml:space="preserve">registren </w:t>
            </w:r>
            <w:r w:rsidRPr="006C59FB">
              <w:t xml:space="preserve">un </w:t>
            </w:r>
            <w:r w:rsidR="00812B77" w:rsidRPr="006C59FB">
              <w:t>acenso</w:t>
            </w:r>
            <w:r w:rsidRPr="006C59FB">
              <w:t xml:space="preserve"> de </w:t>
            </w:r>
            <w:r w:rsidR="00812B77" w:rsidRPr="006C59FB">
              <w:t>3.</w:t>
            </w:r>
            <w:r w:rsidR="00444FF5">
              <w:t>74</w:t>
            </w:r>
            <w:r w:rsidRPr="006C59FB">
              <w:t xml:space="preserve"> por ciento en </w:t>
            </w:r>
            <w:r w:rsidR="00BC2866" w:rsidRPr="006C59FB">
              <w:t>su variación mensual</w:t>
            </w:r>
            <w:r w:rsidR="0098575E" w:rsidRPr="006C59FB">
              <w:t>.</w:t>
            </w:r>
          </w:p>
          <w:p w14:paraId="48378F57" w14:textId="22A0BD94" w:rsidR="00BC2866" w:rsidRPr="006C59FB" w:rsidRDefault="00444FF5" w:rsidP="00A03A43">
            <w:pPr>
              <w:spacing w:after="0"/>
              <w:jc w:val="center"/>
            </w:pPr>
            <w:r w:rsidRPr="00444FF5">
              <w:rPr>
                <w:noProof/>
              </w:rPr>
              <w:drawing>
                <wp:inline distT="0" distB="0" distL="0" distR="0" wp14:anchorId="0B959329" wp14:editId="043B4ECF">
                  <wp:extent cx="5268060" cy="4296375"/>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68060" cy="4296375"/>
                          </a:xfrm>
                          <a:prstGeom prst="rect">
                            <a:avLst/>
                          </a:prstGeom>
                        </pic:spPr>
                      </pic:pic>
                    </a:graphicData>
                  </a:graphic>
                </wp:inline>
              </w:drawing>
            </w:r>
          </w:p>
          <w:p w14:paraId="1682D925" w14:textId="6CF688DC" w:rsidR="00BC2866" w:rsidRPr="00560BC4" w:rsidRDefault="00BC2866" w:rsidP="00A03A43">
            <w:pPr>
              <w:spacing w:after="0"/>
              <w:jc w:val="center"/>
              <w:rPr>
                <w:rStyle w:val="Referenciasutil"/>
              </w:rPr>
            </w:pPr>
            <w:r w:rsidRPr="00560BC4">
              <w:rPr>
                <w:rStyle w:val="Referenciasutil"/>
              </w:rPr>
              <w:t xml:space="preserve">Ilustración </w:t>
            </w:r>
            <w:r w:rsidR="00E65FDE" w:rsidRPr="00560BC4">
              <w:rPr>
                <w:rStyle w:val="Referenciasutil"/>
              </w:rPr>
              <w:fldChar w:fldCharType="begin"/>
            </w:r>
            <w:r w:rsidRPr="00560BC4">
              <w:rPr>
                <w:rStyle w:val="Referenciasutil"/>
              </w:rPr>
              <w:instrText xml:space="preserve"> SEQ Ilustración \* ARABIC </w:instrText>
            </w:r>
            <w:r w:rsidR="00E65FDE" w:rsidRPr="00560BC4">
              <w:rPr>
                <w:rStyle w:val="Referenciasutil"/>
              </w:rPr>
              <w:fldChar w:fldCharType="separate"/>
            </w:r>
            <w:r w:rsidR="0067576D">
              <w:rPr>
                <w:rStyle w:val="Referenciasutil"/>
                <w:noProof/>
              </w:rPr>
              <w:t>2</w:t>
            </w:r>
            <w:r w:rsidR="00E65FDE" w:rsidRPr="00560BC4">
              <w:rPr>
                <w:rStyle w:val="Referenciasutil"/>
              </w:rPr>
              <w:fldChar w:fldCharType="end"/>
            </w:r>
            <w:r w:rsidRPr="00560BC4">
              <w:rPr>
                <w:rStyle w:val="Referenciasutil"/>
              </w:rPr>
              <w:t>.- Estimación del IOAE para actividades secundarias - INEGI.</w:t>
            </w:r>
          </w:p>
          <w:p w14:paraId="34D1206E" w14:textId="77777777" w:rsidR="00BC2866" w:rsidRPr="006C59FB" w:rsidRDefault="00BC2866" w:rsidP="005772CC">
            <w:pPr>
              <w:spacing w:after="0"/>
              <w:jc w:val="both"/>
            </w:pPr>
          </w:p>
          <w:p w14:paraId="55D5FA72" w14:textId="77777777" w:rsidR="00812B77" w:rsidRPr="006C59FB" w:rsidRDefault="00812B77" w:rsidP="005772CC">
            <w:pPr>
              <w:spacing w:after="0"/>
              <w:jc w:val="both"/>
            </w:pPr>
          </w:p>
          <w:p w14:paraId="0CF5C321" w14:textId="77777777" w:rsidR="00812B77" w:rsidRPr="006C59FB" w:rsidRDefault="00812B77" w:rsidP="005772CC">
            <w:pPr>
              <w:spacing w:after="0"/>
              <w:jc w:val="both"/>
            </w:pPr>
          </w:p>
          <w:p w14:paraId="4B4B890D" w14:textId="77777777" w:rsidR="00812B77" w:rsidRPr="006C59FB" w:rsidRDefault="00812B77" w:rsidP="005772CC">
            <w:pPr>
              <w:spacing w:after="0"/>
              <w:jc w:val="both"/>
            </w:pPr>
          </w:p>
          <w:p w14:paraId="2BD59D2D" w14:textId="77777777" w:rsidR="00812B77" w:rsidRPr="006C59FB" w:rsidRDefault="00812B77" w:rsidP="005772CC">
            <w:pPr>
              <w:spacing w:after="0"/>
              <w:jc w:val="both"/>
            </w:pPr>
          </w:p>
          <w:p w14:paraId="3CFB9EF0" w14:textId="77777777" w:rsidR="00812B77" w:rsidRPr="006C59FB" w:rsidRDefault="00812B77" w:rsidP="005772CC">
            <w:pPr>
              <w:spacing w:after="0"/>
              <w:jc w:val="both"/>
            </w:pPr>
          </w:p>
          <w:p w14:paraId="1C0D43FE" w14:textId="77777777" w:rsidR="00812B77" w:rsidRPr="006C59FB" w:rsidRDefault="00812B77" w:rsidP="005772CC">
            <w:pPr>
              <w:spacing w:after="0"/>
              <w:jc w:val="both"/>
            </w:pPr>
          </w:p>
          <w:p w14:paraId="43F622D7" w14:textId="77777777" w:rsidR="00812B77" w:rsidRDefault="00812B77" w:rsidP="005772CC">
            <w:pPr>
              <w:spacing w:after="0"/>
              <w:jc w:val="both"/>
            </w:pPr>
          </w:p>
          <w:p w14:paraId="54A37B74" w14:textId="77777777" w:rsidR="005772CC" w:rsidRDefault="005772CC" w:rsidP="005772CC">
            <w:pPr>
              <w:spacing w:after="0"/>
              <w:jc w:val="both"/>
            </w:pPr>
          </w:p>
          <w:p w14:paraId="1EC3F9D1" w14:textId="77777777" w:rsidR="005772CC" w:rsidRDefault="005772CC" w:rsidP="005772CC">
            <w:pPr>
              <w:spacing w:after="0"/>
              <w:jc w:val="both"/>
            </w:pPr>
          </w:p>
          <w:p w14:paraId="5F53973F" w14:textId="77777777" w:rsidR="005772CC" w:rsidRDefault="005772CC" w:rsidP="005772CC">
            <w:pPr>
              <w:spacing w:after="0"/>
              <w:jc w:val="both"/>
            </w:pPr>
          </w:p>
          <w:p w14:paraId="24DE414D" w14:textId="77777777" w:rsidR="005772CC" w:rsidRDefault="005772CC" w:rsidP="005772CC">
            <w:pPr>
              <w:spacing w:after="0"/>
              <w:jc w:val="both"/>
            </w:pPr>
          </w:p>
          <w:p w14:paraId="7D7BF2A6" w14:textId="77777777" w:rsidR="005772CC" w:rsidRDefault="005772CC" w:rsidP="005772CC">
            <w:pPr>
              <w:spacing w:after="0"/>
              <w:jc w:val="both"/>
            </w:pPr>
          </w:p>
          <w:p w14:paraId="1718B5AE" w14:textId="77777777" w:rsidR="005772CC" w:rsidRDefault="005772CC" w:rsidP="005772CC">
            <w:pPr>
              <w:spacing w:after="0"/>
              <w:jc w:val="both"/>
            </w:pPr>
          </w:p>
          <w:p w14:paraId="29FE92ED" w14:textId="77777777" w:rsidR="005772CC" w:rsidRDefault="005772CC" w:rsidP="005772CC">
            <w:pPr>
              <w:spacing w:after="0"/>
              <w:jc w:val="both"/>
            </w:pPr>
          </w:p>
          <w:p w14:paraId="26576936" w14:textId="77777777" w:rsidR="00220D09" w:rsidRPr="006C59FB" w:rsidRDefault="00220D09" w:rsidP="005772CC">
            <w:pPr>
              <w:spacing w:after="0"/>
              <w:jc w:val="both"/>
            </w:pPr>
          </w:p>
          <w:p w14:paraId="73F7FBEA" w14:textId="4CC8BB57" w:rsidR="00220D09" w:rsidRPr="006C59FB" w:rsidRDefault="00BC2866" w:rsidP="00444FF5">
            <w:pPr>
              <w:spacing w:after="0" w:line="360" w:lineRule="auto"/>
              <w:jc w:val="both"/>
            </w:pPr>
            <w:r w:rsidRPr="006C59FB">
              <w:lastRenderedPageBreak/>
              <w:t xml:space="preserve">Finalmente, el IGAE prevé para el mes de </w:t>
            </w:r>
            <w:r w:rsidR="00444FF5">
              <w:t>mayo</w:t>
            </w:r>
            <w:r w:rsidRPr="006C59FB">
              <w:t xml:space="preserve"> que los índices alcancen un nivel</w:t>
            </w:r>
            <w:r w:rsidR="00B739A6" w:rsidRPr="006C59FB">
              <w:t xml:space="preserve"> de acuerdo a lo siguiente:</w:t>
            </w:r>
          </w:p>
          <w:p w14:paraId="0B883786" w14:textId="032AE765" w:rsidR="00812B77" w:rsidRPr="006C59FB" w:rsidRDefault="00444FF5" w:rsidP="00A03A43">
            <w:pPr>
              <w:spacing w:after="0"/>
              <w:jc w:val="center"/>
            </w:pPr>
            <w:r w:rsidRPr="00444FF5">
              <w:rPr>
                <w:noProof/>
              </w:rPr>
              <w:drawing>
                <wp:inline distT="0" distB="0" distL="0" distR="0" wp14:anchorId="1FFBC1FE" wp14:editId="458DBE87">
                  <wp:extent cx="2827806" cy="389572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31861" cy="3901312"/>
                          </a:xfrm>
                          <a:prstGeom prst="rect">
                            <a:avLst/>
                          </a:prstGeom>
                        </pic:spPr>
                      </pic:pic>
                    </a:graphicData>
                  </a:graphic>
                </wp:inline>
              </w:drawing>
            </w:r>
          </w:p>
          <w:p w14:paraId="03C6B85F" w14:textId="77777777" w:rsidR="00B739A6" w:rsidRPr="006C59FB" w:rsidRDefault="00BC2866" w:rsidP="00A03A43">
            <w:pPr>
              <w:spacing w:after="0"/>
              <w:jc w:val="both"/>
            </w:pPr>
            <w:r w:rsidRPr="006C59FB">
              <w:t xml:space="preserve"> </w:t>
            </w:r>
          </w:p>
          <w:p w14:paraId="799BB9D3" w14:textId="2D3AB7B2" w:rsidR="00B739A6" w:rsidRPr="006C59FB" w:rsidRDefault="00444FF5" w:rsidP="00A03A43">
            <w:pPr>
              <w:spacing w:after="0"/>
              <w:jc w:val="center"/>
            </w:pPr>
            <w:r w:rsidRPr="00444FF5">
              <w:rPr>
                <w:noProof/>
              </w:rPr>
              <w:lastRenderedPageBreak/>
              <w:drawing>
                <wp:inline distT="0" distB="0" distL="0" distR="0" wp14:anchorId="40A5EE79" wp14:editId="6D865DB5">
                  <wp:extent cx="2762250" cy="3888816"/>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69482" cy="3898997"/>
                          </a:xfrm>
                          <a:prstGeom prst="rect">
                            <a:avLst/>
                          </a:prstGeom>
                        </pic:spPr>
                      </pic:pic>
                    </a:graphicData>
                  </a:graphic>
                </wp:inline>
              </w:drawing>
            </w:r>
          </w:p>
          <w:p w14:paraId="6634BF06" w14:textId="63A0FC0C" w:rsidR="00B739A6" w:rsidRPr="006C59FB" w:rsidRDefault="00444FF5" w:rsidP="00A03A43">
            <w:pPr>
              <w:spacing w:after="0"/>
              <w:jc w:val="center"/>
            </w:pPr>
            <w:r w:rsidRPr="00444FF5">
              <w:rPr>
                <w:noProof/>
              </w:rPr>
              <w:drawing>
                <wp:inline distT="0" distB="0" distL="0" distR="0" wp14:anchorId="31F23D24" wp14:editId="0757968B">
                  <wp:extent cx="2600325" cy="3660848"/>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18597" cy="3686572"/>
                          </a:xfrm>
                          <a:prstGeom prst="rect">
                            <a:avLst/>
                          </a:prstGeom>
                        </pic:spPr>
                      </pic:pic>
                    </a:graphicData>
                  </a:graphic>
                </wp:inline>
              </w:drawing>
            </w:r>
          </w:p>
          <w:p w14:paraId="10912E43" w14:textId="52CE5881" w:rsidR="00B739A6" w:rsidRDefault="00B739A6" w:rsidP="00A03A43">
            <w:pPr>
              <w:spacing w:after="0"/>
              <w:jc w:val="center"/>
              <w:rPr>
                <w:rStyle w:val="Referenciasutil"/>
              </w:rPr>
            </w:pPr>
            <w:r w:rsidRPr="00560BC4">
              <w:rPr>
                <w:rStyle w:val="Referenciasutil"/>
              </w:rPr>
              <w:t xml:space="preserve">Ilustración </w:t>
            </w:r>
            <w:r w:rsidR="00E65FDE" w:rsidRPr="00560BC4">
              <w:rPr>
                <w:rStyle w:val="Referenciasutil"/>
              </w:rPr>
              <w:fldChar w:fldCharType="begin"/>
            </w:r>
            <w:r w:rsidRPr="00560BC4">
              <w:rPr>
                <w:rStyle w:val="Referenciasutil"/>
              </w:rPr>
              <w:instrText xml:space="preserve"> SEQ Ilustración \* ARABIC </w:instrText>
            </w:r>
            <w:r w:rsidR="00E65FDE" w:rsidRPr="00560BC4">
              <w:rPr>
                <w:rStyle w:val="Referenciasutil"/>
              </w:rPr>
              <w:fldChar w:fldCharType="separate"/>
            </w:r>
            <w:r w:rsidR="0067576D">
              <w:rPr>
                <w:rStyle w:val="Referenciasutil"/>
                <w:noProof/>
              </w:rPr>
              <w:t>3</w:t>
            </w:r>
            <w:r w:rsidR="00E65FDE" w:rsidRPr="00560BC4">
              <w:rPr>
                <w:rStyle w:val="Referenciasutil"/>
              </w:rPr>
              <w:fldChar w:fldCharType="end"/>
            </w:r>
            <w:r w:rsidRPr="00560BC4">
              <w:rPr>
                <w:rStyle w:val="Referenciasutil"/>
              </w:rPr>
              <w:t>.- comportamiento del IGAE - INEGI.</w:t>
            </w:r>
          </w:p>
          <w:p w14:paraId="2CA87517" w14:textId="77777777" w:rsidR="00220D09" w:rsidRPr="00560BC4" w:rsidRDefault="00220D09" w:rsidP="00A03A43">
            <w:pPr>
              <w:spacing w:after="0"/>
              <w:rPr>
                <w:rStyle w:val="Referenciasutil"/>
              </w:rPr>
            </w:pPr>
          </w:p>
          <w:p w14:paraId="55A0C866" w14:textId="77777777" w:rsidR="001175F5" w:rsidRPr="006C59FB" w:rsidRDefault="001175F5" w:rsidP="005772CC">
            <w:pPr>
              <w:spacing w:after="0" w:line="360" w:lineRule="auto"/>
              <w:jc w:val="both"/>
            </w:pPr>
            <w:r w:rsidRPr="006C59FB">
              <w:lastRenderedPageBreak/>
              <w:t>En relación con el Paquete Económico 2023, aprobado por la Secretaria de Hacienda y Crédito Público (SHCP), se mencionan algunas consideraciones relevantes.</w:t>
            </w:r>
          </w:p>
          <w:p w14:paraId="1434D11E" w14:textId="77777777" w:rsidR="00812B77" w:rsidRPr="006C59FB" w:rsidRDefault="00812B77" w:rsidP="005772CC">
            <w:pPr>
              <w:spacing w:after="0"/>
              <w:jc w:val="both"/>
            </w:pPr>
          </w:p>
          <w:p w14:paraId="49471A21" w14:textId="77777777" w:rsidR="001175F5" w:rsidRPr="006C59FB" w:rsidRDefault="001175F5" w:rsidP="005772CC">
            <w:pPr>
              <w:spacing w:after="0" w:line="360" w:lineRule="auto"/>
              <w:jc w:val="both"/>
            </w:pPr>
            <w:r w:rsidRPr="006C59FB">
              <w:t xml:space="preserve">La SHCP estima que el crecimiento del PIB </w:t>
            </w:r>
            <w:r w:rsidR="005E5F3C" w:rsidRPr="006C59FB">
              <w:t>cierre en</w:t>
            </w:r>
            <w:r w:rsidRPr="006C59FB">
              <w:t xml:space="preserve"> 2.4% real anual para 2022, con un rango de 1.9% a 2.9%; lo que significa una reducción de 1 </w:t>
            </w:r>
            <w:proofErr w:type="spellStart"/>
            <w:r w:rsidRPr="006C59FB">
              <w:t>pp</w:t>
            </w:r>
            <w:proofErr w:type="spellEnd"/>
            <w:r w:rsidRPr="006C59FB">
              <w:t xml:space="preserve"> con respecto a las proyecciones presentadas en los </w:t>
            </w:r>
            <w:r w:rsidR="005E5F3C" w:rsidRPr="006C59FB">
              <w:t>Pre Criterios Generales de Política Económica (</w:t>
            </w:r>
            <w:r w:rsidRPr="006C59FB">
              <w:t>PCGPE 2023</w:t>
            </w:r>
            <w:r w:rsidR="005E5F3C" w:rsidRPr="006C59FB">
              <w:t>)</w:t>
            </w:r>
            <w:r w:rsidRPr="006C59FB">
              <w:t>.</w:t>
            </w:r>
          </w:p>
          <w:p w14:paraId="47C24099" w14:textId="77777777" w:rsidR="00812B77" w:rsidRPr="006C59FB" w:rsidRDefault="00812B77" w:rsidP="005772CC">
            <w:pPr>
              <w:spacing w:after="0"/>
              <w:jc w:val="both"/>
            </w:pPr>
          </w:p>
          <w:p w14:paraId="02351AE8" w14:textId="77777777" w:rsidR="001175F5" w:rsidRPr="006C59FB" w:rsidRDefault="001175F5" w:rsidP="00A51536">
            <w:pPr>
              <w:spacing w:after="0" w:line="360" w:lineRule="auto"/>
              <w:jc w:val="both"/>
            </w:pPr>
            <w:r w:rsidRPr="006C59FB">
              <w:t xml:space="preserve">Para 2023, la SHCP estima un crecimiento puntual del PIB de 3.0%, con un rango de entre 1.2 y 3.0% real anual, lo que significa una disminución de 0.5 </w:t>
            </w:r>
            <w:proofErr w:type="spellStart"/>
            <w:r w:rsidRPr="006C59FB">
              <w:t>pp</w:t>
            </w:r>
            <w:proofErr w:type="spellEnd"/>
            <w:r w:rsidRPr="006C59FB">
              <w:t xml:space="preserve"> con respecto a las proyecciones presentadas en los PCGPE 2023.</w:t>
            </w:r>
          </w:p>
          <w:p w14:paraId="4A55EA48" w14:textId="77777777" w:rsidR="00812B77" w:rsidRPr="006C59FB" w:rsidRDefault="00812B77" w:rsidP="00A51536">
            <w:pPr>
              <w:spacing w:after="0" w:line="240" w:lineRule="auto"/>
              <w:jc w:val="both"/>
            </w:pPr>
          </w:p>
          <w:p w14:paraId="5D09A83E" w14:textId="77777777" w:rsidR="001175F5" w:rsidRDefault="001175F5" w:rsidP="00A51536">
            <w:pPr>
              <w:spacing w:after="0" w:line="360" w:lineRule="auto"/>
              <w:jc w:val="both"/>
            </w:pPr>
            <w:r w:rsidRPr="006C59FB">
              <w:t xml:space="preserve">Referente a la inflación, se espera que esta variable cierre el año en 7.7% para 2022, y en 3.2% para 2023, lo que indica una convergencia más lenta hacia el objetivo del Banco de México derivado de las continuas presiones inflacionarias provenientes del entorno externo. </w:t>
            </w:r>
          </w:p>
          <w:p w14:paraId="56884C6E" w14:textId="77777777" w:rsidR="00A51536" w:rsidRPr="006C59FB" w:rsidRDefault="00A51536" w:rsidP="00A51536">
            <w:pPr>
              <w:spacing w:after="0" w:line="240" w:lineRule="auto"/>
              <w:jc w:val="both"/>
            </w:pPr>
          </w:p>
          <w:p w14:paraId="45E9061B" w14:textId="77777777" w:rsidR="001175F5" w:rsidRPr="006C59FB" w:rsidRDefault="001175F5" w:rsidP="00A51536">
            <w:pPr>
              <w:spacing w:after="0" w:line="360" w:lineRule="auto"/>
              <w:jc w:val="both"/>
            </w:pPr>
            <w:r w:rsidRPr="006C59FB">
              <w:t>Derivado de la mayor persistencia inflacionaria a la prevista, se estima que el Banco de México continúe con los ajustes al alza en la tasa de interés para garantizar el anclaje de las expectativas, no obstante que las presiones inflacionarias seguirán reflejando afectaciones y choques por factores externos. De esta manera, se anticipa que la tasa de CETES de 28 días se ubicará en promedio en 9.5% y 8.5% para 2022 y 2023, respectivamente.</w:t>
            </w:r>
          </w:p>
          <w:p w14:paraId="179C141A" w14:textId="77777777" w:rsidR="00812B77" w:rsidRPr="006C59FB" w:rsidRDefault="00812B77" w:rsidP="005772CC">
            <w:pPr>
              <w:spacing w:after="0"/>
              <w:jc w:val="both"/>
            </w:pPr>
          </w:p>
          <w:p w14:paraId="59BBD833" w14:textId="77777777" w:rsidR="001175F5" w:rsidRPr="006C59FB" w:rsidRDefault="001175F5" w:rsidP="00DE5491">
            <w:pPr>
              <w:spacing w:after="0" w:line="360" w:lineRule="auto"/>
              <w:jc w:val="both"/>
            </w:pPr>
            <w:r w:rsidRPr="006C59FB">
              <w:t>Si bien el tipo de cambio ha presentado volatilidad reciente por el conflicto Rusia-Ucrania, se prevé que la fortaleza de los fundamentales macroeconómicos, las condiciones financieras internacionales y una posición fiscal y monetaria menos acomodaticia incidan de forma positiva. Así, el tipo de cambio promedio se situaría en 20.4 pesos por dólar en 2022 y en 20.6 pesos por dólar en 2023.</w:t>
            </w:r>
          </w:p>
          <w:p w14:paraId="1662038E" w14:textId="77777777" w:rsidR="00812B77" w:rsidRPr="006C59FB" w:rsidRDefault="00812B77" w:rsidP="005772CC">
            <w:pPr>
              <w:spacing w:after="0"/>
              <w:jc w:val="both"/>
              <w:rPr>
                <w:u w:val="single"/>
              </w:rPr>
            </w:pPr>
          </w:p>
          <w:p w14:paraId="492F2F0F" w14:textId="77777777" w:rsidR="001175F5" w:rsidRPr="006C59FB" w:rsidRDefault="001175F5" w:rsidP="00DE5491">
            <w:pPr>
              <w:spacing w:after="0" w:line="360" w:lineRule="auto"/>
              <w:jc w:val="both"/>
            </w:pPr>
            <w:r w:rsidRPr="006C59FB">
              <w:t xml:space="preserve">Para el cierre de 2022 se estima que la plataforma de producción de petróleo promedie 1,835 </w:t>
            </w:r>
            <w:proofErr w:type="spellStart"/>
            <w:r w:rsidRPr="006C59FB">
              <w:t>mbd</w:t>
            </w:r>
            <w:proofErr w:type="spellEnd"/>
            <w:r w:rsidRPr="006C59FB">
              <w:t xml:space="preserve">. En cuanto a 2023 se estima que la plataforma promedie 1,872 </w:t>
            </w:r>
            <w:proofErr w:type="spellStart"/>
            <w:r w:rsidRPr="006C59FB">
              <w:t>m</w:t>
            </w:r>
            <w:r w:rsidR="005E5F3C" w:rsidRPr="006C59FB">
              <w:t>bd</w:t>
            </w:r>
            <w:proofErr w:type="spellEnd"/>
            <w:r w:rsidRPr="006C59FB">
              <w:t xml:space="preserve">, superior en 21 </w:t>
            </w:r>
            <w:proofErr w:type="spellStart"/>
            <w:r w:rsidRPr="006C59FB">
              <w:t>m</w:t>
            </w:r>
            <w:r w:rsidR="005E5F3C" w:rsidRPr="006C59FB">
              <w:t>bd</w:t>
            </w:r>
            <w:proofErr w:type="spellEnd"/>
            <w:r w:rsidRPr="006C59FB">
              <w:t xml:space="preserve"> a lo previsto en PCGPE 2023.</w:t>
            </w:r>
          </w:p>
          <w:p w14:paraId="322D2F70" w14:textId="77777777" w:rsidR="001175F5" w:rsidRPr="006C59FB" w:rsidRDefault="001175F5" w:rsidP="00A03A43">
            <w:pPr>
              <w:spacing w:after="0"/>
              <w:jc w:val="center"/>
            </w:pPr>
            <w:r w:rsidRPr="006C59FB">
              <w:rPr>
                <w:noProof/>
                <w:lang w:eastAsia="es-MX"/>
              </w:rPr>
              <w:lastRenderedPageBreak/>
              <w:drawing>
                <wp:inline distT="0" distB="0" distL="0" distR="0" wp14:anchorId="1F6D9090" wp14:editId="494FAE1E">
                  <wp:extent cx="4962525" cy="44862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4962525" cy="4486275"/>
                          </a:xfrm>
                          <a:prstGeom prst="rect">
                            <a:avLst/>
                          </a:prstGeom>
                        </pic:spPr>
                      </pic:pic>
                    </a:graphicData>
                  </a:graphic>
                </wp:inline>
              </w:drawing>
            </w:r>
          </w:p>
          <w:p w14:paraId="0A819F20" w14:textId="77777777" w:rsidR="001175F5" w:rsidRPr="006C59FB" w:rsidRDefault="001175F5" w:rsidP="00A03A43">
            <w:pPr>
              <w:spacing w:after="0"/>
              <w:jc w:val="center"/>
            </w:pPr>
            <w:r w:rsidRPr="006C59FB">
              <w:rPr>
                <w:noProof/>
                <w:lang w:eastAsia="es-MX"/>
              </w:rPr>
              <w:drawing>
                <wp:inline distT="0" distB="0" distL="0" distR="0" wp14:anchorId="10D78B85" wp14:editId="38101FE5">
                  <wp:extent cx="4876800" cy="2571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4876800" cy="257175"/>
                          </a:xfrm>
                          <a:prstGeom prst="rect">
                            <a:avLst/>
                          </a:prstGeom>
                        </pic:spPr>
                      </pic:pic>
                    </a:graphicData>
                  </a:graphic>
                </wp:inline>
              </w:drawing>
            </w:r>
          </w:p>
          <w:p w14:paraId="29C25463" w14:textId="77777777" w:rsidR="001175F5" w:rsidRDefault="001D091D" w:rsidP="00A03A43">
            <w:pPr>
              <w:spacing w:after="0"/>
              <w:jc w:val="center"/>
              <w:rPr>
                <w:rStyle w:val="Referenciasutil"/>
              </w:rPr>
            </w:pPr>
            <w:r w:rsidRPr="00220D09">
              <w:rPr>
                <w:rStyle w:val="Referenciasutil"/>
              </w:rPr>
              <w:t>Ilustración. -</w:t>
            </w:r>
            <w:r w:rsidR="001175F5" w:rsidRPr="00220D09">
              <w:rPr>
                <w:rStyle w:val="Referenciasutil"/>
              </w:rPr>
              <w:t xml:space="preserve"> Panorama Macroeconómico de acuerdo con lo</w:t>
            </w:r>
            <w:r w:rsidRPr="00220D09">
              <w:rPr>
                <w:rStyle w:val="Referenciasutil"/>
              </w:rPr>
              <w:t>s</w:t>
            </w:r>
            <w:r w:rsidR="001175F5" w:rsidRPr="00220D09">
              <w:rPr>
                <w:rStyle w:val="Referenciasutil"/>
              </w:rPr>
              <w:t xml:space="preserve"> CGPE 2023.</w:t>
            </w:r>
          </w:p>
          <w:p w14:paraId="1F2C1190" w14:textId="77777777" w:rsidR="00220D09" w:rsidRPr="00220D09" w:rsidRDefault="00220D09" w:rsidP="00A03A43">
            <w:pPr>
              <w:spacing w:after="0"/>
              <w:rPr>
                <w:rStyle w:val="Referenciasutil"/>
              </w:rPr>
            </w:pPr>
          </w:p>
          <w:p w14:paraId="78AA929B" w14:textId="77777777" w:rsidR="00812B77" w:rsidRPr="006C59FB" w:rsidRDefault="001175F5" w:rsidP="00DE5491">
            <w:pPr>
              <w:spacing w:after="0" w:line="360" w:lineRule="auto"/>
              <w:jc w:val="both"/>
            </w:pPr>
            <w:r w:rsidRPr="006C59FB">
              <w:t>Se estima que en 2023 los ingresos presupuestarios sean mayores en 644.3 mil millones de pesos con respecto a lo aprobado en 2022</w:t>
            </w:r>
            <w:r w:rsidRPr="006C59FB">
              <w:rPr>
                <w:i/>
              </w:rPr>
              <w:t xml:space="preserve">. </w:t>
            </w:r>
            <w:r w:rsidRPr="00560BC4">
              <w:rPr>
                <w:rStyle w:val="nfasissutil"/>
              </w:rPr>
              <w:t>“Lo anterior se explica, principalmente, por mayores ingresos tributarios en 535.4 mil millones de pesos, sin considerar el IEPS de combustibles, resultado del mayor dinamismo de la actividad económica estimado para el siguiente año, así como de ingresos petroleros, mayores en 176.6 mil millones de pesos con respecto a la LIF de 2022, debido al mayor precio y producción de petróleo. Con respecto al cierre del ejercicio 2022, los ingresos presupuestales totales se estiman mayores en 56.1 mil millones de pesos, lo que implica una variación real de 0.8%.</w:t>
            </w:r>
            <w:r w:rsidR="001D091D" w:rsidRPr="00560BC4">
              <w:rPr>
                <w:rStyle w:val="nfasissutil"/>
              </w:rPr>
              <w:t>”</w:t>
            </w:r>
            <w:r w:rsidR="001D091D" w:rsidRPr="006C59FB">
              <w:t>. (</w:t>
            </w:r>
            <w:r w:rsidRPr="006C59FB">
              <w:t>CGPE, 2023)</w:t>
            </w:r>
          </w:p>
          <w:p w14:paraId="42C74795" w14:textId="77777777" w:rsidR="00812B77" w:rsidRDefault="00812B77" w:rsidP="00DE5491">
            <w:pPr>
              <w:spacing w:after="0"/>
              <w:jc w:val="both"/>
            </w:pPr>
          </w:p>
          <w:p w14:paraId="721201F5" w14:textId="77777777" w:rsidR="00DE5491" w:rsidRDefault="00DE5491" w:rsidP="00DE5491">
            <w:pPr>
              <w:spacing w:after="0"/>
              <w:jc w:val="both"/>
            </w:pPr>
          </w:p>
          <w:p w14:paraId="37E2043F" w14:textId="77777777" w:rsidR="00DE5491" w:rsidRPr="006C59FB" w:rsidRDefault="00DE5491" w:rsidP="00DE5491">
            <w:pPr>
              <w:spacing w:after="0"/>
              <w:jc w:val="both"/>
            </w:pPr>
          </w:p>
          <w:p w14:paraId="74C9C29E" w14:textId="77777777" w:rsidR="00812B77" w:rsidRPr="006C59FB" w:rsidRDefault="001175F5" w:rsidP="00DE5491">
            <w:pPr>
              <w:spacing w:after="0" w:line="360" w:lineRule="auto"/>
              <w:jc w:val="both"/>
            </w:pPr>
            <w:r w:rsidRPr="006C59FB">
              <w:lastRenderedPageBreak/>
              <w:t>Se estima que el gasto programable pagado sea de 5,916.2 miles de millones de pesos. Con ello, el gasto continuará focalizado en fomentar la actividad productiva y la creación de empleos.</w:t>
            </w:r>
          </w:p>
          <w:p w14:paraId="7B3C3084" w14:textId="77777777" w:rsidR="001175F5" w:rsidRPr="006C59FB" w:rsidRDefault="001175F5" w:rsidP="00DE5491">
            <w:pPr>
              <w:spacing w:after="0" w:line="360" w:lineRule="auto"/>
              <w:jc w:val="both"/>
            </w:pPr>
            <w:r w:rsidRPr="006C59FB">
              <w:t>En cuanto al gasto no programable pagado, se estima que sea por 2,341.4 mil millones de pesos fundamentalmente, a mayores participaciones derivadas del aumento en la recaudación federal participable y a un mayor costo financiero reflejo del aumento en las tasas de interés.</w:t>
            </w:r>
          </w:p>
          <w:p w14:paraId="4F1E2160" w14:textId="77777777" w:rsidR="001175F5" w:rsidRPr="006C59FB" w:rsidRDefault="001175F5" w:rsidP="00A03A43">
            <w:pPr>
              <w:spacing w:after="0"/>
              <w:jc w:val="center"/>
            </w:pPr>
            <w:r w:rsidRPr="006C59FB">
              <w:rPr>
                <w:noProof/>
                <w:lang w:eastAsia="es-MX"/>
              </w:rPr>
              <w:drawing>
                <wp:inline distT="0" distB="0" distL="0" distR="0" wp14:anchorId="5DA45EF8" wp14:editId="05DC3494">
                  <wp:extent cx="4798695" cy="4081881"/>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4832212" cy="4110392"/>
                          </a:xfrm>
                          <a:prstGeom prst="rect">
                            <a:avLst/>
                          </a:prstGeom>
                        </pic:spPr>
                      </pic:pic>
                    </a:graphicData>
                  </a:graphic>
                </wp:inline>
              </w:drawing>
            </w:r>
          </w:p>
          <w:p w14:paraId="51F34F98" w14:textId="77777777" w:rsidR="001175F5" w:rsidRPr="00560BC4" w:rsidRDefault="001D091D" w:rsidP="00A03A43">
            <w:pPr>
              <w:spacing w:after="0"/>
              <w:jc w:val="center"/>
              <w:rPr>
                <w:rStyle w:val="Referenciasutil"/>
              </w:rPr>
            </w:pPr>
            <w:r w:rsidRPr="00560BC4">
              <w:rPr>
                <w:rStyle w:val="Referenciasutil"/>
              </w:rPr>
              <w:t>Ilustración. -</w:t>
            </w:r>
            <w:r w:rsidR="001175F5" w:rsidRPr="00560BC4">
              <w:rPr>
                <w:rStyle w:val="Referenciasutil"/>
              </w:rPr>
              <w:t xml:space="preserve"> Estimación de </w:t>
            </w:r>
            <w:r w:rsidRPr="00560BC4">
              <w:rPr>
                <w:rStyle w:val="Referenciasutil"/>
              </w:rPr>
              <w:t>las finanzas</w:t>
            </w:r>
            <w:r w:rsidR="001175F5" w:rsidRPr="00560BC4">
              <w:rPr>
                <w:rStyle w:val="Referenciasutil"/>
              </w:rPr>
              <w:t xml:space="preserve"> Públicas de acuerdo con los CGPE 2023.</w:t>
            </w:r>
          </w:p>
          <w:p w14:paraId="7E414D63" w14:textId="77777777" w:rsidR="001175F5" w:rsidRPr="006C59FB" w:rsidRDefault="001175F5" w:rsidP="00A03A43">
            <w:pPr>
              <w:spacing w:after="0"/>
              <w:jc w:val="both"/>
            </w:pPr>
          </w:p>
          <w:p w14:paraId="2A42C0A2" w14:textId="77777777" w:rsidR="001175F5" w:rsidRPr="006C59FB" w:rsidRDefault="001175F5" w:rsidP="00DE5491">
            <w:pPr>
              <w:spacing w:after="0" w:line="360" w:lineRule="auto"/>
              <w:jc w:val="both"/>
            </w:pPr>
            <w:r w:rsidRPr="006C59FB">
              <w:t>La Ley de Ingresos de la Federación para el ejercicio fiscal 2023 estima obtener ingresos por: $8,299,647.8 millones de pesos</w:t>
            </w:r>
            <w:r w:rsidR="001D091D" w:rsidRPr="006C59FB">
              <w:t>, distribuyéndose de acuerdo con lo siguiente:</w:t>
            </w:r>
          </w:p>
          <w:p w14:paraId="5DE4CF75" w14:textId="77777777" w:rsidR="001175F5" w:rsidRPr="006C59FB" w:rsidRDefault="001175F5" w:rsidP="00DE5491">
            <w:pPr>
              <w:pStyle w:val="Prrafodelista"/>
              <w:numPr>
                <w:ilvl w:val="0"/>
                <w:numId w:val="24"/>
              </w:numPr>
              <w:spacing w:after="0"/>
              <w:jc w:val="both"/>
            </w:pPr>
            <w:r w:rsidRPr="006C59FB">
              <w:t xml:space="preserve">Impuestos 4,623,583.1 </w:t>
            </w:r>
            <w:proofErr w:type="spellStart"/>
            <w:r w:rsidRPr="006C59FB">
              <w:t>mdp</w:t>
            </w:r>
            <w:proofErr w:type="spellEnd"/>
          </w:p>
          <w:p w14:paraId="2DF795B8" w14:textId="77777777" w:rsidR="001175F5" w:rsidRPr="006C59FB" w:rsidRDefault="001175F5" w:rsidP="00DE5491">
            <w:pPr>
              <w:pStyle w:val="Prrafodelista"/>
              <w:numPr>
                <w:ilvl w:val="0"/>
                <w:numId w:val="24"/>
              </w:numPr>
              <w:spacing w:after="0"/>
              <w:jc w:val="both"/>
            </w:pPr>
            <w:r w:rsidRPr="006C59FB">
              <w:t xml:space="preserve">Cuotas y Aportaciones de Seguridad Social 470,845.4 </w:t>
            </w:r>
            <w:proofErr w:type="spellStart"/>
            <w:r w:rsidRPr="006C59FB">
              <w:t>mdp</w:t>
            </w:r>
            <w:proofErr w:type="spellEnd"/>
          </w:p>
          <w:p w14:paraId="0E3781FF" w14:textId="77777777" w:rsidR="001175F5" w:rsidRPr="006C59FB" w:rsidRDefault="001175F5" w:rsidP="00DE5491">
            <w:pPr>
              <w:pStyle w:val="Prrafodelista"/>
              <w:numPr>
                <w:ilvl w:val="0"/>
                <w:numId w:val="24"/>
              </w:numPr>
              <w:spacing w:after="0"/>
              <w:jc w:val="both"/>
            </w:pPr>
            <w:r w:rsidRPr="006C59FB">
              <w:t xml:space="preserve">Contribuciones de Mejoras 34.6 </w:t>
            </w:r>
            <w:proofErr w:type="spellStart"/>
            <w:r w:rsidRPr="006C59FB">
              <w:t>mdp</w:t>
            </w:r>
            <w:proofErr w:type="spellEnd"/>
          </w:p>
          <w:p w14:paraId="0282D86D" w14:textId="77777777" w:rsidR="001175F5" w:rsidRPr="006C59FB" w:rsidRDefault="001175F5" w:rsidP="00DE5491">
            <w:pPr>
              <w:pStyle w:val="Prrafodelista"/>
              <w:numPr>
                <w:ilvl w:val="0"/>
                <w:numId w:val="24"/>
              </w:numPr>
              <w:spacing w:after="0"/>
              <w:jc w:val="both"/>
            </w:pPr>
            <w:r w:rsidRPr="006C59FB">
              <w:t xml:space="preserve">Derechos 57,193.0 </w:t>
            </w:r>
            <w:proofErr w:type="spellStart"/>
            <w:r w:rsidRPr="006C59FB">
              <w:t>mdp</w:t>
            </w:r>
            <w:proofErr w:type="spellEnd"/>
          </w:p>
          <w:p w14:paraId="70B57754" w14:textId="77777777" w:rsidR="001175F5" w:rsidRPr="006C59FB" w:rsidRDefault="001175F5" w:rsidP="00DE5491">
            <w:pPr>
              <w:pStyle w:val="Prrafodelista"/>
              <w:numPr>
                <w:ilvl w:val="0"/>
                <w:numId w:val="24"/>
              </w:numPr>
              <w:spacing w:after="0"/>
              <w:jc w:val="both"/>
            </w:pPr>
            <w:r w:rsidRPr="006C59FB">
              <w:t xml:space="preserve">Productos 6,543.6 </w:t>
            </w:r>
            <w:proofErr w:type="spellStart"/>
            <w:r w:rsidRPr="006C59FB">
              <w:t>mdp</w:t>
            </w:r>
            <w:proofErr w:type="spellEnd"/>
          </w:p>
          <w:p w14:paraId="7CAFD863" w14:textId="77777777" w:rsidR="001175F5" w:rsidRPr="006C59FB" w:rsidRDefault="001175F5" w:rsidP="00DE5491">
            <w:pPr>
              <w:pStyle w:val="Prrafodelista"/>
              <w:numPr>
                <w:ilvl w:val="0"/>
                <w:numId w:val="24"/>
              </w:numPr>
              <w:spacing w:after="0"/>
              <w:jc w:val="both"/>
            </w:pPr>
            <w:r w:rsidRPr="006C59FB">
              <w:t xml:space="preserve">Aprovechamientos 173,554.2 </w:t>
            </w:r>
            <w:proofErr w:type="spellStart"/>
            <w:r w:rsidRPr="006C59FB">
              <w:t>mdp</w:t>
            </w:r>
            <w:proofErr w:type="spellEnd"/>
          </w:p>
          <w:p w14:paraId="010D3D16" w14:textId="77777777" w:rsidR="001175F5" w:rsidRPr="006C59FB" w:rsidRDefault="001175F5" w:rsidP="00DE5491">
            <w:pPr>
              <w:pStyle w:val="Prrafodelista"/>
              <w:numPr>
                <w:ilvl w:val="0"/>
                <w:numId w:val="24"/>
              </w:numPr>
              <w:spacing w:after="0"/>
              <w:jc w:val="both"/>
            </w:pPr>
            <w:r w:rsidRPr="006C59FB">
              <w:t xml:space="preserve">Ingresos por Ventas de Bienes, Prestación de Servicios y Otros Ingresos 1,303,977.5 </w:t>
            </w:r>
            <w:proofErr w:type="spellStart"/>
            <w:r w:rsidRPr="006C59FB">
              <w:t>mdp</w:t>
            </w:r>
            <w:proofErr w:type="spellEnd"/>
          </w:p>
          <w:p w14:paraId="73ED36DA" w14:textId="77777777" w:rsidR="001175F5" w:rsidRPr="006C59FB" w:rsidRDefault="001175F5" w:rsidP="00DE5491">
            <w:pPr>
              <w:pStyle w:val="Prrafodelista"/>
              <w:numPr>
                <w:ilvl w:val="0"/>
                <w:numId w:val="24"/>
              </w:numPr>
              <w:spacing w:after="0"/>
              <w:jc w:val="both"/>
            </w:pPr>
            <w:r w:rsidRPr="006C59FB">
              <w:t xml:space="preserve">Transferencias, Asignaciones, Subsidios y Subvenciones, y Pensiones y Jubilaciones 487,742.6 </w:t>
            </w:r>
            <w:proofErr w:type="spellStart"/>
            <w:r w:rsidRPr="006C59FB">
              <w:t>mdp</w:t>
            </w:r>
            <w:proofErr w:type="spellEnd"/>
          </w:p>
          <w:p w14:paraId="6E5E3C6F" w14:textId="77777777" w:rsidR="001175F5" w:rsidRPr="006C59FB" w:rsidRDefault="001175F5" w:rsidP="00DE5491">
            <w:pPr>
              <w:pStyle w:val="Prrafodelista"/>
              <w:numPr>
                <w:ilvl w:val="0"/>
                <w:numId w:val="24"/>
              </w:numPr>
              <w:spacing w:after="0"/>
              <w:jc w:val="both"/>
            </w:pPr>
            <w:r w:rsidRPr="006C59FB">
              <w:t xml:space="preserve">Ingresos Derivados de Financiamientos 1,176,173.8 </w:t>
            </w:r>
            <w:proofErr w:type="spellStart"/>
            <w:r w:rsidRPr="006C59FB">
              <w:t>mdp</w:t>
            </w:r>
            <w:proofErr w:type="spellEnd"/>
          </w:p>
          <w:p w14:paraId="304161A4" w14:textId="77777777" w:rsidR="001175F5" w:rsidRPr="006C59FB" w:rsidRDefault="001175F5" w:rsidP="00A03A43">
            <w:pPr>
              <w:spacing w:after="0"/>
              <w:jc w:val="center"/>
            </w:pPr>
            <w:r w:rsidRPr="006C59FB">
              <w:rPr>
                <w:noProof/>
                <w:lang w:eastAsia="es-MX"/>
              </w:rPr>
              <w:lastRenderedPageBreak/>
              <w:drawing>
                <wp:inline distT="0" distB="0" distL="0" distR="0" wp14:anchorId="6BD9B521" wp14:editId="1A06A901">
                  <wp:extent cx="5337544" cy="3838354"/>
                  <wp:effectExtent l="0" t="0" r="15875" b="1016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74B9908" w14:textId="77777777" w:rsidR="001175F5" w:rsidRPr="00560BC4" w:rsidRDefault="001D091D" w:rsidP="00A03A43">
            <w:pPr>
              <w:spacing w:after="0"/>
              <w:jc w:val="center"/>
              <w:rPr>
                <w:rStyle w:val="Referenciasutil"/>
              </w:rPr>
            </w:pPr>
            <w:r w:rsidRPr="00560BC4">
              <w:rPr>
                <w:rStyle w:val="Referenciasutil"/>
              </w:rPr>
              <w:t>Ilustración. -</w:t>
            </w:r>
            <w:r w:rsidR="001175F5" w:rsidRPr="00560BC4">
              <w:rPr>
                <w:rStyle w:val="Referenciasutil"/>
              </w:rPr>
              <w:t xml:space="preserve"> Elaboración propia con base en la LIF 2023.</w:t>
            </w:r>
          </w:p>
          <w:p w14:paraId="0A3ABA8D" w14:textId="77777777" w:rsidR="00220D09" w:rsidRPr="006C59FB" w:rsidRDefault="00220D09" w:rsidP="00DE5491">
            <w:pPr>
              <w:spacing w:after="0"/>
              <w:jc w:val="both"/>
            </w:pPr>
          </w:p>
          <w:p w14:paraId="0A136341" w14:textId="77777777" w:rsidR="001175F5" w:rsidRPr="006C59FB" w:rsidRDefault="001175F5" w:rsidP="00DE5491">
            <w:pPr>
              <w:spacing w:after="0" w:line="360" w:lineRule="auto"/>
              <w:jc w:val="both"/>
            </w:pPr>
            <w:r w:rsidRPr="006C59FB">
              <w:t xml:space="preserve">El Gasto Neto Programable presupuestado </w:t>
            </w:r>
            <w:r w:rsidR="001D091D" w:rsidRPr="006C59FB">
              <w:t>para 2023</w:t>
            </w:r>
            <w:r w:rsidRPr="006C59FB">
              <w:t xml:space="preserve"> </w:t>
            </w:r>
            <w:r w:rsidR="001D091D" w:rsidRPr="006C59FB">
              <w:t xml:space="preserve">es </w:t>
            </w:r>
            <w:r w:rsidRPr="006C59FB">
              <w:t>de: $5,958,256.6 millones de pesos, mismos que se distribuyen de la siguiente manera:</w:t>
            </w:r>
          </w:p>
          <w:p w14:paraId="24D378A6" w14:textId="77777777" w:rsidR="001175F5" w:rsidRPr="006C59FB" w:rsidRDefault="001175F5" w:rsidP="00A03A43">
            <w:pPr>
              <w:spacing w:after="0"/>
              <w:jc w:val="center"/>
            </w:pPr>
            <w:r w:rsidRPr="006C59FB">
              <w:rPr>
                <w:noProof/>
                <w:lang w:eastAsia="es-MX"/>
              </w:rPr>
              <w:drawing>
                <wp:inline distT="0" distB="0" distL="0" distR="0" wp14:anchorId="0C8E4224" wp14:editId="488C0A16">
                  <wp:extent cx="4930445" cy="2889250"/>
                  <wp:effectExtent l="0" t="0" r="0" b="0"/>
                  <wp:docPr id="10" name="Imagen 10" descr="https://www.transparenciapresupuestaria.gob.mx/work/models/PTP/programas/ppef2023/images/grafic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ransparenciapresupuestaria.gob.mx/work/models/PTP/programas/ppef2023/images/grafica_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42400" cy="2896255"/>
                          </a:xfrm>
                          <a:prstGeom prst="rect">
                            <a:avLst/>
                          </a:prstGeom>
                          <a:noFill/>
                          <a:ln>
                            <a:noFill/>
                          </a:ln>
                        </pic:spPr>
                      </pic:pic>
                    </a:graphicData>
                  </a:graphic>
                </wp:inline>
              </w:drawing>
            </w:r>
          </w:p>
          <w:p w14:paraId="5FC84F72" w14:textId="77777777" w:rsidR="00D04891" w:rsidRPr="00220D09" w:rsidRDefault="001175F5" w:rsidP="00A03A43">
            <w:pPr>
              <w:spacing w:after="0"/>
              <w:jc w:val="center"/>
              <w:rPr>
                <w:smallCaps/>
                <w:color w:val="5A5A5A" w:themeColor="text1" w:themeTint="A5"/>
              </w:rPr>
            </w:pPr>
            <w:r w:rsidRPr="00220D09">
              <w:rPr>
                <w:rStyle w:val="Referenciasutil"/>
              </w:rPr>
              <w:t xml:space="preserve">Ilustración.- Fuente: Infografía del Paquete Económico 2023, disponible en: </w:t>
            </w:r>
            <w:hyperlink r:id="rId22" w:history="1">
              <w:r w:rsidRPr="00220D09">
                <w:rPr>
                  <w:rStyle w:val="Referenciasutil"/>
                </w:rPr>
                <w:t>https://www.transparenciapresupuestaria.gob.mx/es/PTP/Infografia_PPEF_2023</w:t>
              </w:r>
            </w:hyperlink>
          </w:p>
          <w:p w14:paraId="229CABC5" w14:textId="77777777" w:rsidR="001175F5" w:rsidRPr="006C59FB" w:rsidRDefault="001175F5" w:rsidP="00DE5491">
            <w:pPr>
              <w:spacing w:after="0" w:line="360" w:lineRule="auto"/>
              <w:jc w:val="both"/>
            </w:pPr>
            <w:r w:rsidRPr="006C59FB">
              <w:lastRenderedPageBreak/>
              <w:t xml:space="preserve">Por su parte el Gasto Neto No Programable presupuestado </w:t>
            </w:r>
            <w:r w:rsidR="001D091D" w:rsidRPr="006C59FB">
              <w:t>para 2023</w:t>
            </w:r>
            <w:r w:rsidRPr="006C59FB">
              <w:t xml:space="preserve"> </w:t>
            </w:r>
            <w:r w:rsidR="001D091D" w:rsidRPr="006C59FB">
              <w:t xml:space="preserve">es </w:t>
            </w:r>
            <w:r w:rsidRPr="006C59FB">
              <w:t>de: $2,341,391.2 millones de pesos.</w:t>
            </w:r>
          </w:p>
          <w:p w14:paraId="6F7678DC" w14:textId="77777777" w:rsidR="00D04891" w:rsidRPr="006C59FB" w:rsidRDefault="00D04891" w:rsidP="00DE5491">
            <w:pPr>
              <w:spacing w:after="0"/>
              <w:jc w:val="both"/>
            </w:pPr>
          </w:p>
          <w:p w14:paraId="2F077706" w14:textId="77777777" w:rsidR="001175F5" w:rsidRPr="006C59FB" w:rsidRDefault="001175F5" w:rsidP="00A03A43">
            <w:pPr>
              <w:jc w:val="both"/>
            </w:pPr>
            <w:r w:rsidRPr="006C59FB">
              <w:t>De acuerdo con la clasificación funcional del gasto esta se compone, de la siguiente forma:</w:t>
            </w:r>
          </w:p>
          <w:p w14:paraId="4C6DF89F" w14:textId="77777777" w:rsidR="001175F5" w:rsidRPr="006C59FB" w:rsidRDefault="001175F5" w:rsidP="00A03A43">
            <w:pPr>
              <w:spacing w:after="0"/>
              <w:jc w:val="center"/>
            </w:pPr>
            <w:r w:rsidRPr="006C59FB">
              <w:rPr>
                <w:noProof/>
                <w:lang w:eastAsia="es-MX"/>
              </w:rPr>
              <w:drawing>
                <wp:inline distT="0" distB="0" distL="0" distR="0" wp14:anchorId="3F6BD1DF" wp14:editId="265F36B9">
                  <wp:extent cx="5359849" cy="2796363"/>
                  <wp:effectExtent l="0" t="0" r="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371847" cy="2802623"/>
                          </a:xfrm>
                          <a:prstGeom prst="rect">
                            <a:avLst/>
                          </a:prstGeom>
                        </pic:spPr>
                      </pic:pic>
                    </a:graphicData>
                  </a:graphic>
                </wp:inline>
              </w:drawing>
            </w:r>
          </w:p>
          <w:p w14:paraId="31E7C4A1" w14:textId="77777777" w:rsidR="001175F5" w:rsidRPr="00560BC4" w:rsidRDefault="001175F5" w:rsidP="00A03A43">
            <w:pPr>
              <w:spacing w:after="0"/>
              <w:jc w:val="center"/>
              <w:rPr>
                <w:rStyle w:val="Referenciasutil"/>
              </w:rPr>
            </w:pPr>
            <w:r w:rsidRPr="00560BC4">
              <w:rPr>
                <w:rStyle w:val="Referenciasutil"/>
              </w:rPr>
              <w:t xml:space="preserve">Ilustración.- Fuente: Infografía del Paquete Económico 2023, disponible en: </w:t>
            </w:r>
            <w:hyperlink r:id="rId24" w:history="1">
              <w:r w:rsidRPr="00560BC4">
                <w:rPr>
                  <w:rStyle w:val="Referenciasutil"/>
                </w:rPr>
                <w:t>https://www.transparenciapresupuestaria.gob.mx/es/PTP/Infografia_PPEF_2023</w:t>
              </w:r>
            </w:hyperlink>
          </w:p>
          <w:p w14:paraId="236F184D" w14:textId="77777777" w:rsidR="00D04891" w:rsidRPr="006C59FB" w:rsidRDefault="00D04891" w:rsidP="00DE5491">
            <w:pPr>
              <w:spacing w:after="0"/>
              <w:jc w:val="both"/>
            </w:pPr>
          </w:p>
          <w:p w14:paraId="78040435" w14:textId="77777777" w:rsidR="001175F5" w:rsidRPr="006C59FB" w:rsidRDefault="001175F5" w:rsidP="00DE5491">
            <w:pPr>
              <w:spacing w:after="0" w:line="360" w:lineRule="auto"/>
              <w:jc w:val="both"/>
            </w:pPr>
            <w:r w:rsidRPr="006C59FB">
              <w:t>Respecto al Gasto Federalizado, este se distribuye tal y como se muestra a continuación (cifras en millones de pesos):</w:t>
            </w:r>
          </w:p>
          <w:p w14:paraId="4D2254F9" w14:textId="77777777" w:rsidR="001175F5" w:rsidRPr="006C59FB" w:rsidRDefault="001175F5" w:rsidP="00A03A43">
            <w:pPr>
              <w:spacing w:after="0"/>
              <w:jc w:val="center"/>
            </w:pPr>
            <w:r w:rsidRPr="006C59FB">
              <w:rPr>
                <w:noProof/>
                <w:lang w:eastAsia="es-MX"/>
              </w:rPr>
              <w:drawing>
                <wp:inline distT="0" distB="0" distL="0" distR="0" wp14:anchorId="1CE00706" wp14:editId="04A60487">
                  <wp:extent cx="4637405" cy="2260397"/>
                  <wp:effectExtent l="0" t="0" r="10795" b="698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922A7B4" w14:textId="77777777" w:rsidR="001175F5" w:rsidRPr="00560BC4" w:rsidRDefault="001D091D" w:rsidP="00A03A43">
            <w:pPr>
              <w:spacing w:after="0"/>
              <w:jc w:val="center"/>
              <w:rPr>
                <w:rStyle w:val="Referenciasutil"/>
              </w:rPr>
            </w:pPr>
            <w:r w:rsidRPr="00560BC4">
              <w:rPr>
                <w:rStyle w:val="Referenciasutil"/>
              </w:rPr>
              <w:t>Ilustración. -</w:t>
            </w:r>
            <w:r w:rsidR="001175F5" w:rsidRPr="00560BC4">
              <w:rPr>
                <w:rStyle w:val="Referenciasutil"/>
              </w:rPr>
              <w:t xml:space="preserve"> Elaboración propia con base en </w:t>
            </w:r>
            <w:r w:rsidRPr="00560BC4">
              <w:rPr>
                <w:rStyle w:val="Referenciasutil"/>
              </w:rPr>
              <w:t>el</w:t>
            </w:r>
            <w:r w:rsidR="001175F5" w:rsidRPr="00560BC4">
              <w:rPr>
                <w:rStyle w:val="Referenciasutil"/>
              </w:rPr>
              <w:t xml:space="preserve"> PE 2023.</w:t>
            </w:r>
          </w:p>
          <w:p w14:paraId="018876AB" w14:textId="77777777" w:rsidR="00D04891" w:rsidRDefault="00D04891" w:rsidP="00DE5491">
            <w:pPr>
              <w:spacing w:after="0"/>
              <w:jc w:val="both"/>
            </w:pPr>
          </w:p>
          <w:p w14:paraId="6B3D1C2A" w14:textId="77777777" w:rsidR="00DE5491" w:rsidRDefault="00DE5491" w:rsidP="00DE5491">
            <w:pPr>
              <w:spacing w:after="0"/>
              <w:jc w:val="both"/>
            </w:pPr>
          </w:p>
          <w:p w14:paraId="226E713F" w14:textId="77777777" w:rsidR="00DE5491" w:rsidRPr="006C59FB" w:rsidRDefault="00DE5491" w:rsidP="00DE5491">
            <w:pPr>
              <w:spacing w:after="0"/>
              <w:jc w:val="both"/>
            </w:pPr>
          </w:p>
          <w:p w14:paraId="01FB31D1" w14:textId="77777777" w:rsidR="00243A14" w:rsidRPr="006C59FB" w:rsidRDefault="00F834D7" w:rsidP="00DE5491">
            <w:pPr>
              <w:spacing w:after="0" w:line="360" w:lineRule="auto"/>
              <w:jc w:val="both"/>
            </w:pPr>
            <w:r w:rsidRPr="006C59FB">
              <w:lastRenderedPageBreak/>
              <w:t xml:space="preserve">Por todo lo antes mencionado, podemos concluir que la economía mexicana </w:t>
            </w:r>
            <w:r w:rsidR="00B739A6" w:rsidRPr="006C59FB">
              <w:t>muestra signos de</w:t>
            </w:r>
            <w:r w:rsidR="0003182E" w:rsidRPr="006C59FB">
              <w:t xml:space="preserve"> desaceleración </w:t>
            </w:r>
            <w:r w:rsidR="00B739A6" w:rsidRPr="006C59FB">
              <w:t>hacía final del 2022</w:t>
            </w:r>
            <w:r w:rsidRPr="006C59FB">
              <w:t>,</w:t>
            </w:r>
            <w:r w:rsidR="00362C9D" w:rsidRPr="006C59FB">
              <w:t xml:space="preserve"> gran parte de </w:t>
            </w:r>
            <w:r w:rsidR="00B739A6" w:rsidRPr="006C59FB">
              <w:t xml:space="preserve">las afectaciones </w:t>
            </w:r>
            <w:r w:rsidR="00362C9D" w:rsidRPr="006C59FB">
              <w:t xml:space="preserve">son </w:t>
            </w:r>
            <w:r w:rsidR="00B739A6" w:rsidRPr="006C59FB">
              <w:t>ocasionadas por factores externos</w:t>
            </w:r>
            <w:r w:rsidR="00362C9D" w:rsidRPr="006C59FB">
              <w:t xml:space="preserve"> y a una afectación global generalizada </w:t>
            </w:r>
            <w:r w:rsidR="001D091D" w:rsidRPr="006C59FB">
              <w:t>por</w:t>
            </w:r>
            <w:r w:rsidR="00362C9D" w:rsidRPr="006C59FB">
              <w:t xml:space="preserve"> la inflación</w:t>
            </w:r>
            <w:r w:rsidR="00F02601" w:rsidRPr="006C59FB">
              <w:t xml:space="preserve">. Para el 2023 las variables macroeconómicas estiman </w:t>
            </w:r>
            <w:r w:rsidR="001D091D" w:rsidRPr="006C59FB">
              <w:t>crecimientos mucho menores</w:t>
            </w:r>
            <w:r w:rsidR="00362C9D" w:rsidRPr="006C59FB">
              <w:t xml:space="preserve"> a lo previsto al inicio del 2022 y de acuerdo con lo</w:t>
            </w:r>
            <w:r w:rsidR="00F02601" w:rsidRPr="006C59FB">
              <w:t xml:space="preserve"> estimado por otras organizaciones como el Fondo Monetario Internacional, el Banco Mundial y la Organización para la Cooperación y el Desarrollo Económicos.</w:t>
            </w:r>
          </w:p>
          <w:p w14:paraId="1CB2CDAF" w14:textId="77777777" w:rsidR="00D04891" w:rsidRPr="006C59FB" w:rsidRDefault="00D04891" w:rsidP="00DE5491">
            <w:pPr>
              <w:spacing w:after="0"/>
              <w:jc w:val="both"/>
            </w:pPr>
          </w:p>
          <w:p w14:paraId="1289733E" w14:textId="77777777" w:rsidR="00F834D7" w:rsidRPr="006C59FB" w:rsidRDefault="00F834D7" w:rsidP="00DE5491">
            <w:pPr>
              <w:spacing w:after="0" w:line="360" w:lineRule="auto"/>
              <w:jc w:val="both"/>
            </w:pPr>
            <w:r w:rsidRPr="006C59FB">
              <w:t>En el ám</w:t>
            </w:r>
            <w:r w:rsidR="00BD289C" w:rsidRPr="006C59FB">
              <w:t>bito Local, Zapopan mantiene</w:t>
            </w:r>
            <w:r w:rsidRPr="006C59FB">
              <w:t xml:space="preserve"> una fortaleza </w:t>
            </w:r>
            <w:r w:rsidR="00BD289C" w:rsidRPr="006C59FB">
              <w:t>respecto a los niveles de</w:t>
            </w:r>
            <w:r w:rsidRPr="006C59FB">
              <w:t xml:space="preserve"> recaudación de ingresos propios, lo </w:t>
            </w:r>
            <w:r w:rsidR="00BD289C" w:rsidRPr="006C59FB">
              <w:t>anterior, contin</w:t>
            </w:r>
            <w:r w:rsidR="005E5F3C" w:rsidRPr="006C59FB">
              <w:t>ú</w:t>
            </w:r>
            <w:r w:rsidR="00BD289C" w:rsidRPr="006C59FB">
              <w:t>a potencializando</w:t>
            </w:r>
            <w:r w:rsidRPr="006C59FB">
              <w:t xml:space="preserve"> la inversión pública y la atracción de capitales al municipio</w:t>
            </w:r>
            <w:r w:rsidR="00BD289C" w:rsidRPr="006C59FB">
              <w:t>, esto ha</w:t>
            </w:r>
            <w:r w:rsidRPr="006C59FB">
              <w:t xml:space="preserve"> generado un entorno favorable y atractivo para nuevas inversiones.</w:t>
            </w:r>
          </w:p>
          <w:p w14:paraId="3E16D2A3" w14:textId="77777777" w:rsidR="00D04891" w:rsidRPr="006C59FB" w:rsidRDefault="00D04891" w:rsidP="00DE5491">
            <w:pPr>
              <w:spacing w:after="0"/>
              <w:jc w:val="both"/>
            </w:pPr>
          </w:p>
          <w:p w14:paraId="0C9B8B23" w14:textId="77777777" w:rsidR="00BD289C" w:rsidRPr="006C59FB" w:rsidRDefault="00BD289C" w:rsidP="00DE5491">
            <w:pPr>
              <w:spacing w:after="0" w:line="360" w:lineRule="auto"/>
              <w:jc w:val="both"/>
            </w:pPr>
            <w:r w:rsidRPr="006C59FB">
              <w:t>Referente al recurso federal transferido,</w:t>
            </w:r>
            <w:r w:rsidR="00F834D7" w:rsidRPr="006C59FB">
              <w:t xml:space="preserve"> el Municipio de Zapopan </w:t>
            </w:r>
            <w:r w:rsidRPr="006C59FB">
              <w:t>contin</w:t>
            </w:r>
            <w:r w:rsidR="005E5F3C" w:rsidRPr="006C59FB">
              <w:t>ú</w:t>
            </w:r>
            <w:r w:rsidRPr="006C59FB">
              <w:t>a</w:t>
            </w:r>
            <w:r w:rsidR="00F834D7" w:rsidRPr="006C59FB">
              <w:t xml:space="preserve"> incrementando los coeficientes de distribución de las Participaciones y Aportaciones, </w:t>
            </w:r>
            <w:r w:rsidRPr="006C59FB">
              <w:t xml:space="preserve">lo anterior, derivado de que lo </w:t>
            </w:r>
            <w:r w:rsidR="00F834D7" w:rsidRPr="006C59FB">
              <w:t>coeficientes basados en el esfuerzo recaudatorio, la recaudación por impuesto predial y derechos por el cobro de agua han permitido que el Municipio sea acreedor a mayor cantidad de recursos por parte del Estado y la Federación.</w:t>
            </w:r>
            <w:r w:rsidRPr="006C59FB">
              <w:t xml:space="preserve"> Este incremento ha permitido </w:t>
            </w:r>
            <w:r w:rsidR="00F834D7" w:rsidRPr="006C59FB">
              <w:t xml:space="preserve">que Zapopan </w:t>
            </w:r>
            <w:r w:rsidRPr="006C59FB">
              <w:t>utilice más recursos</w:t>
            </w:r>
            <w:r w:rsidR="00F834D7" w:rsidRPr="006C59FB">
              <w:t xml:space="preserve"> para potencializar la infraestructura urbana, fortalecimiento se la seguridad pública y disminución del rezago social en el municipio.</w:t>
            </w:r>
          </w:p>
          <w:p w14:paraId="463581F9" w14:textId="77777777" w:rsidR="00D04891" w:rsidRPr="006C59FB" w:rsidRDefault="00D04891" w:rsidP="00DE5491">
            <w:pPr>
              <w:spacing w:after="0"/>
              <w:jc w:val="both"/>
            </w:pPr>
          </w:p>
          <w:p w14:paraId="0DC81982" w14:textId="50BE4272" w:rsidR="00F834D7" w:rsidRPr="006C59FB" w:rsidRDefault="00BD289C" w:rsidP="00DE5491">
            <w:pPr>
              <w:spacing w:after="0" w:line="360" w:lineRule="auto"/>
              <w:jc w:val="both"/>
            </w:pPr>
            <w:r w:rsidRPr="006C59FB">
              <w:t>El</w:t>
            </w:r>
            <w:r w:rsidR="00F834D7" w:rsidRPr="006C59FB">
              <w:t xml:space="preserve"> mercado laboral </w:t>
            </w:r>
            <w:r w:rsidRPr="006C59FB">
              <w:t xml:space="preserve">en </w:t>
            </w:r>
            <w:r w:rsidR="00F834D7" w:rsidRPr="006C59FB">
              <w:t>Zapopan sigue consolidando una recuperación importante, ya que desde 2021 Zapopan se ha colocado como el Municipio número 1 en recuperación de empleos en Jalisco</w:t>
            </w:r>
            <w:r w:rsidR="005A0040">
              <w:t xml:space="preserve">; </w:t>
            </w:r>
            <w:r w:rsidR="00F834D7" w:rsidRPr="006C59FB">
              <w:t xml:space="preserve">se espera un panorama favorable, tal es el caso del mes de </w:t>
            </w:r>
            <w:r w:rsidR="005A0040">
              <w:t>junio 2023,</w:t>
            </w:r>
            <w:r w:rsidR="00F834D7" w:rsidRPr="006C59FB">
              <w:t xml:space="preserve"> en el que Zapopan fue el </w:t>
            </w:r>
            <w:r w:rsidR="00362C9D" w:rsidRPr="006C59FB">
              <w:t xml:space="preserve">segundo </w:t>
            </w:r>
            <w:r w:rsidR="00F834D7" w:rsidRPr="006C59FB">
              <w:t>municipio con mayor generación de empleos formales</w:t>
            </w:r>
            <w:r w:rsidR="005A0040">
              <w:t>.</w:t>
            </w:r>
          </w:p>
          <w:p w14:paraId="508740DB" w14:textId="6BA0DD1D" w:rsidR="00243A14" w:rsidRPr="006C59FB" w:rsidRDefault="005A0040" w:rsidP="00A03A43">
            <w:pPr>
              <w:jc w:val="center"/>
            </w:pPr>
            <w:r w:rsidRPr="005A0040">
              <w:rPr>
                <w:noProof/>
              </w:rPr>
              <w:lastRenderedPageBreak/>
              <w:drawing>
                <wp:inline distT="0" distB="0" distL="0" distR="0" wp14:anchorId="154F8EEF" wp14:editId="40B8A236">
                  <wp:extent cx="4572000" cy="2399893"/>
                  <wp:effectExtent l="0" t="0" r="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576531" cy="2402271"/>
                          </a:xfrm>
                          <a:prstGeom prst="rect">
                            <a:avLst/>
                          </a:prstGeom>
                        </pic:spPr>
                      </pic:pic>
                    </a:graphicData>
                  </a:graphic>
                </wp:inline>
              </w:drawing>
            </w:r>
          </w:p>
          <w:p w14:paraId="6FCFE6F9" w14:textId="77777777" w:rsidR="00F834D7" w:rsidRPr="006C59FB" w:rsidRDefault="00F834D7" w:rsidP="00DE5491">
            <w:pPr>
              <w:spacing w:after="0" w:line="360" w:lineRule="auto"/>
              <w:jc w:val="both"/>
              <w:rPr>
                <w:lang w:eastAsia="es-MX"/>
              </w:rPr>
            </w:pPr>
            <w:r w:rsidRPr="006C59FB">
              <w:t>Finalmente, el perfil crediticio del</w:t>
            </w:r>
            <w:r w:rsidRPr="006C59FB">
              <w:rPr>
                <w:lang w:eastAsia="es-MX"/>
              </w:rPr>
              <w:t xml:space="preserve"> Municipio de Zapopan se </w:t>
            </w:r>
            <w:r w:rsidR="00362C9D" w:rsidRPr="006C59FB">
              <w:rPr>
                <w:lang w:eastAsia="es-MX"/>
              </w:rPr>
              <w:t>sitúa entre</w:t>
            </w:r>
            <w:r w:rsidRPr="006C59FB">
              <w:rPr>
                <w:lang w:eastAsia="es-MX"/>
              </w:rPr>
              <w:t xml:space="preserve"> los mejores del país, lo anterior debido a los factores antes mencionados como la alta recaudación de ingresos propios entre otros, los que dio como resultado calificaciones de:</w:t>
            </w:r>
          </w:p>
          <w:p w14:paraId="15DCE15C" w14:textId="77777777" w:rsidR="00F834D7" w:rsidRPr="006C59FB" w:rsidRDefault="00A97853" w:rsidP="00DE5491">
            <w:pPr>
              <w:pStyle w:val="Prrafodelista"/>
              <w:numPr>
                <w:ilvl w:val="0"/>
                <w:numId w:val="25"/>
              </w:numPr>
              <w:spacing w:after="0"/>
              <w:jc w:val="both"/>
              <w:rPr>
                <w:lang w:eastAsia="es-MX"/>
              </w:rPr>
            </w:pPr>
            <w:r w:rsidRPr="00A03A43">
              <w:rPr>
                <w:b/>
                <w:lang w:eastAsia="es-MX"/>
              </w:rPr>
              <w:t>AA.</w:t>
            </w:r>
            <w:r w:rsidR="00F834D7" w:rsidRPr="00A03A43">
              <w:rPr>
                <w:b/>
                <w:lang w:eastAsia="es-MX"/>
              </w:rPr>
              <w:t>mx</w:t>
            </w:r>
            <w:r w:rsidR="00F834D7" w:rsidRPr="006C59FB">
              <w:rPr>
                <w:lang w:eastAsia="es-MX"/>
              </w:rPr>
              <w:t xml:space="preserve"> - </w:t>
            </w:r>
            <w:r w:rsidR="00F834D7" w:rsidRPr="00C427D1">
              <w:rPr>
                <w:lang w:eastAsia="es-MX"/>
              </w:rPr>
              <w:t xml:space="preserve">perspectiva estable </w:t>
            </w:r>
            <w:r w:rsidR="00F834D7" w:rsidRPr="006C59FB">
              <w:rPr>
                <w:lang w:eastAsia="es-MX"/>
              </w:rPr>
              <w:t xml:space="preserve">emitida por la </w:t>
            </w:r>
            <w:r w:rsidR="005E5F3C" w:rsidRPr="006C59FB">
              <w:rPr>
                <w:lang w:eastAsia="es-MX"/>
              </w:rPr>
              <w:t>Calificadora Moody</w:t>
            </w:r>
            <w:r w:rsidR="00F834D7" w:rsidRPr="006C59FB">
              <w:rPr>
                <w:lang w:eastAsia="es-MX"/>
              </w:rPr>
              <w:t>´s y</w:t>
            </w:r>
          </w:p>
          <w:p w14:paraId="55BE467C" w14:textId="77777777" w:rsidR="00F834D7" w:rsidRPr="006C59FB" w:rsidRDefault="00F834D7" w:rsidP="00DE5491">
            <w:pPr>
              <w:pStyle w:val="Prrafodelista"/>
              <w:numPr>
                <w:ilvl w:val="0"/>
                <w:numId w:val="25"/>
              </w:numPr>
              <w:spacing w:after="0"/>
              <w:jc w:val="both"/>
              <w:rPr>
                <w:lang w:eastAsia="es-MX"/>
              </w:rPr>
            </w:pPr>
            <w:r w:rsidRPr="00A03A43">
              <w:rPr>
                <w:b/>
                <w:lang w:eastAsia="es-MX"/>
              </w:rPr>
              <w:t>BBB-/</w:t>
            </w:r>
            <w:proofErr w:type="spellStart"/>
            <w:r w:rsidR="00A97853" w:rsidRPr="00A03A43">
              <w:rPr>
                <w:b/>
                <w:lang w:eastAsia="es-MX"/>
              </w:rPr>
              <w:t>AAA</w:t>
            </w:r>
            <w:r w:rsidRPr="00A03A43">
              <w:rPr>
                <w:b/>
                <w:lang w:eastAsia="es-MX"/>
              </w:rPr>
              <w:t>mx</w:t>
            </w:r>
            <w:proofErr w:type="spellEnd"/>
            <w:r w:rsidRPr="00A03A43">
              <w:rPr>
                <w:bCs/>
                <w:lang w:eastAsia="es-MX"/>
              </w:rPr>
              <w:t xml:space="preserve"> - </w:t>
            </w:r>
            <w:r w:rsidRPr="00C427D1">
              <w:rPr>
                <w:lang w:eastAsia="es-MX"/>
              </w:rPr>
              <w:t>perspectiva estable</w:t>
            </w:r>
            <w:r w:rsidRPr="00A03A43">
              <w:rPr>
                <w:bCs/>
                <w:lang w:eastAsia="es-MX"/>
              </w:rPr>
              <w:t xml:space="preserve"> emitida por la Calificadora Fitch</w:t>
            </w:r>
            <w:r w:rsidR="00E84CE7" w:rsidRPr="00A03A43">
              <w:rPr>
                <w:bCs/>
                <w:lang w:eastAsia="es-MX"/>
              </w:rPr>
              <w:t xml:space="preserve"> </w:t>
            </w:r>
            <w:r w:rsidRPr="00A03A43">
              <w:rPr>
                <w:bCs/>
                <w:lang w:eastAsia="es-MX"/>
              </w:rPr>
              <w:t>Ratings</w:t>
            </w:r>
            <w:r w:rsidRPr="006C59FB">
              <w:rPr>
                <w:lang w:eastAsia="es-MX"/>
              </w:rPr>
              <w:t>.</w:t>
            </w:r>
          </w:p>
          <w:p w14:paraId="7FA2E87F" w14:textId="77777777" w:rsidR="00D04891" w:rsidRPr="006C59FB" w:rsidRDefault="00D04891" w:rsidP="00DE5491">
            <w:pPr>
              <w:spacing w:after="0"/>
              <w:jc w:val="both"/>
              <w:rPr>
                <w:lang w:eastAsia="es-MX"/>
              </w:rPr>
            </w:pPr>
          </w:p>
          <w:p w14:paraId="27BE4E18" w14:textId="77777777" w:rsidR="009926E5" w:rsidRPr="006C59FB" w:rsidRDefault="001D091D" w:rsidP="00DE5491">
            <w:pPr>
              <w:spacing w:after="0" w:line="360" w:lineRule="auto"/>
              <w:jc w:val="both"/>
              <w:rPr>
                <w:lang w:eastAsia="es-MX"/>
              </w:rPr>
            </w:pPr>
            <w:r w:rsidRPr="006C59FB">
              <w:rPr>
                <w:lang w:eastAsia="es-MX"/>
              </w:rPr>
              <w:t>Se</w:t>
            </w:r>
            <w:r w:rsidR="00F834D7" w:rsidRPr="006C59FB">
              <w:rPr>
                <w:lang w:eastAsia="es-MX"/>
              </w:rPr>
              <w:t xml:space="preserve"> espera que el Municipio de Zapopan continúe con finanzas públicas sanas en gran medida por la fortaleza de sus ingresos propios, apuntalada de</w:t>
            </w:r>
            <w:r w:rsidR="00E84CE7" w:rsidRPr="006C59FB">
              <w:rPr>
                <w:lang w:eastAsia="es-MX"/>
              </w:rPr>
              <w:t xml:space="preserve"> las transferencias federales, </w:t>
            </w:r>
            <w:r w:rsidR="00F834D7" w:rsidRPr="006C59FB">
              <w:rPr>
                <w:lang w:eastAsia="es-MX"/>
              </w:rPr>
              <w:t xml:space="preserve">el buen perfil crediticio y un manejo sostenible de la deuda, además de ser uno de los municipios más importantes en cuanto a atracción de inversiones y la generación de empleos a nivel nacional. </w:t>
            </w:r>
          </w:p>
          <w:p w14:paraId="4AC6AF3B" w14:textId="77777777" w:rsidR="00243A14" w:rsidRDefault="00243A14" w:rsidP="00DE5491">
            <w:pPr>
              <w:spacing w:after="0"/>
              <w:jc w:val="both"/>
            </w:pPr>
          </w:p>
          <w:p w14:paraId="433D5355" w14:textId="77777777" w:rsidR="00A03A43" w:rsidRDefault="00A03A43" w:rsidP="00DE5491">
            <w:pPr>
              <w:spacing w:after="0"/>
              <w:jc w:val="both"/>
            </w:pPr>
          </w:p>
          <w:p w14:paraId="22B2C91C" w14:textId="77777777" w:rsidR="00A03A43" w:rsidRDefault="00A03A43" w:rsidP="00DE5491">
            <w:pPr>
              <w:spacing w:after="0"/>
              <w:jc w:val="both"/>
            </w:pPr>
          </w:p>
          <w:p w14:paraId="3FD9F9DC" w14:textId="77777777" w:rsidR="00DE5491" w:rsidRDefault="00DE5491" w:rsidP="00DE5491">
            <w:pPr>
              <w:spacing w:after="0"/>
              <w:jc w:val="both"/>
            </w:pPr>
          </w:p>
          <w:p w14:paraId="285339BA" w14:textId="77777777" w:rsidR="00DE5491" w:rsidRDefault="00DE5491" w:rsidP="00DE5491">
            <w:pPr>
              <w:spacing w:after="0"/>
              <w:jc w:val="both"/>
            </w:pPr>
          </w:p>
          <w:p w14:paraId="1BDA4F04" w14:textId="77777777" w:rsidR="00DE5491" w:rsidRPr="006C59FB" w:rsidRDefault="00DE5491" w:rsidP="00DE5491">
            <w:pPr>
              <w:spacing w:after="0"/>
              <w:jc w:val="both"/>
            </w:pPr>
          </w:p>
          <w:p w14:paraId="21161A02" w14:textId="77777777" w:rsidR="00E81301" w:rsidRPr="006C59FB" w:rsidRDefault="00E81301" w:rsidP="00DE5491">
            <w:pPr>
              <w:pStyle w:val="Subttulo"/>
              <w:numPr>
                <w:ilvl w:val="0"/>
                <w:numId w:val="22"/>
              </w:numPr>
              <w:spacing w:after="0"/>
              <w:rPr>
                <w:lang w:eastAsia="es-MX"/>
              </w:rPr>
            </w:pPr>
            <w:r w:rsidRPr="006C59FB">
              <w:rPr>
                <w:lang w:eastAsia="es-MX"/>
              </w:rPr>
              <w:t>Autorización e Historia.</w:t>
            </w:r>
          </w:p>
          <w:p w14:paraId="67F07220" w14:textId="77777777" w:rsidR="00E81301" w:rsidRPr="00A03A43" w:rsidRDefault="00E81301" w:rsidP="00DE5491">
            <w:pPr>
              <w:pStyle w:val="Prrafodelista"/>
              <w:numPr>
                <w:ilvl w:val="0"/>
                <w:numId w:val="26"/>
              </w:numPr>
              <w:spacing w:after="0"/>
              <w:jc w:val="both"/>
              <w:rPr>
                <w:rStyle w:val="nfasissutil"/>
              </w:rPr>
            </w:pPr>
            <w:r w:rsidRPr="00A03A43">
              <w:rPr>
                <w:rStyle w:val="nfasissutil"/>
              </w:rPr>
              <w:t>Fecha de creación del Ente:</w:t>
            </w:r>
          </w:p>
          <w:p w14:paraId="407431D0" w14:textId="0F3688C7" w:rsidR="00DE5491" w:rsidRDefault="00E81301" w:rsidP="00DE5491">
            <w:pPr>
              <w:spacing w:after="0" w:line="360" w:lineRule="auto"/>
              <w:jc w:val="both"/>
              <w:rPr>
                <w:lang w:eastAsia="es-MX"/>
              </w:rPr>
            </w:pPr>
            <w:r w:rsidRPr="006C59FB">
              <w:rPr>
                <w:lang w:eastAsia="es-MX"/>
              </w:rPr>
              <w:t xml:space="preserve">El 6 de </w:t>
            </w:r>
            <w:r w:rsidR="005E5F3C" w:rsidRPr="006C59FB">
              <w:rPr>
                <w:lang w:eastAsia="es-MX"/>
              </w:rPr>
              <w:t>a</w:t>
            </w:r>
            <w:r w:rsidRPr="006C59FB">
              <w:rPr>
                <w:lang w:eastAsia="es-MX"/>
              </w:rPr>
              <w:t xml:space="preserve">bril de 1917 la Constitución Política del Estado de Jalisco reconoce a Zapopan como Municipio Libre, la categoría de cabecera </w:t>
            </w:r>
            <w:r w:rsidR="00C345A7" w:rsidRPr="006C59FB">
              <w:rPr>
                <w:lang w:eastAsia="es-MX"/>
              </w:rPr>
              <w:t>municipal</w:t>
            </w:r>
            <w:r w:rsidRPr="006C59FB">
              <w:rPr>
                <w:lang w:eastAsia="es-MX"/>
              </w:rPr>
              <w:t xml:space="preserve"> permaneció sin cambios hasta el 7 de </w:t>
            </w:r>
            <w:r w:rsidR="005E5F3C" w:rsidRPr="006C59FB">
              <w:rPr>
                <w:lang w:eastAsia="es-MX"/>
              </w:rPr>
              <w:t>d</w:t>
            </w:r>
            <w:r w:rsidRPr="006C59FB">
              <w:rPr>
                <w:lang w:eastAsia="es-MX"/>
              </w:rPr>
              <w:t xml:space="preserve">iciembre de 1994 cuando mediante decreto 14358 el Congreso del Estado de Jalisco, cambia la categoría de Villa Zapopan que tenía desde principios del siglo XIX por la de Ciudad. Durante la sesión solemne realizada el 8 de </w:t>
            </w:r>
            <w:r w:rsidR="005E5F3C" w:rsidRPr="006C59FB">
              <w:rPr>
                <w:lang w:eastAsia="es-MX"/>
              </w:rPr>
              <w:t>d</w:t>
            </w:r>
            <w:r w:rsidRPr="006C59FB">
              <w:rPr>
                <w:lang w:eastAsia="es-MX"/>
              </w:rPr>
              <w:t>iciembre de 1991, en la que se celebró el 450 aniversario de la fundación de la Villa Zapopan, concediéndose, con este motivo el título de ciudad.</w:t>
            </w:r>
          </w:p>
          <w:p w14:paraId="3A29FA35" w14:textId="77777777" w:rsidR="00444FF5" w:rsidRPr="006C59FB" w:rsidRDefault="00444FF5" w:rsidP="00DE5491">
            <w:pPr>
              <w:spacing w:after="0" w:line="360" w:lineRule="auto"/>
              <w:jc w:val="both"/>
              <w:rPr>
                <w:lang w:eastAsia="es-MX"/>
              </w:rPr>
            </w:pPr>
          </w:p>
          <w:p w14:paraId="44A7C66A" w14:textId="77777777" w:rsidR="00E81301" w:rsidRPr="00A03A43" w:rsidRDefault="00E81301" w:rsidP="00DE5491">
            <w:pPr>
              <w:pStyle w:val="Prrafodelista"/>
              <w:numPr>
                <w:ilvl w:val="0"/>
                <w:numId w:val="26"/>
              </w:numPr>
              <w:spacing w:after="0"/>
              <w:jc w:val="both"/>
              <w:rPr>
                <w:rStyle w:val="nfasissutil"/>
              </w:rPr>
            </w:pPr>
            <w:r w:rsidRPr="00A03A43">
              <w:rPr>
                <w:rStyle w:val="nfasissutil"/>
              </w:rPr>
              <w:t>Principales cambios en su estructura.</w:t>
            </w:r>
          </w:p>
          <w:p w14:paraId="73739FC7" w14:textId="77777777" w:rsidR="00E81301" w:rsidRPr="006C59FB" w:rsidRDefault="009926E5" w:rsidP="00DE5491">
            <w:pPr>
              <w:spacing w:after="0" w:line="360" w:lineRule="auto"/>
              <w:jc w:val="both"/>
              <w:rPr>
                <w:lang w:eastAsia="es-MX"/>
              </w:rPr>
            </w:pPr>
            <w:r w:rsidRPr="006C59FB">
              <w:rPr>
                <w:lang w:eastAsia="es-MX"/>
              </w:rPr>
              <w:t xml:space="preserve">El Municipio de Zapopan, </w:t>
            </w:r>
            <w:r w:rsidR="00E81301" w:rsidRPr="006C59FB">
              <w:rPr>
                <w:lang w:eastAsia="es-MX"/>
              </w:rPr>
              <w:t>es una Entidad que elabora su información financiera observando las disposiciones de las siguientes Leyes del Estado de Jalisco:</w:t>
            </w:r>
          </w:p>
          <w:p w14:paraId="35C59C3D" w14:textId="77777777" w:rsidR="00E81301" w:rsidRPr="006C59FB" w:rsidRDefault="00E81301" w:rsidP="00DE5491">
            <w:pPr>
              <w:pStyle w:val="Prrafodelista"/>
              <w:numPr>
                <w:ilvl w:val="1"/>
                <w:numId w:val="26"/>
              </w:numPr>
              <w:spacing w:after="0"/>
              <w:jc w:val="both"/>
              <w:rPr>
                <w:lang w:eastAsia="es-MX"/>
              </w:rPr>
            </w:pPr>
            <w:r w:rsidRPr="006C59FB">
              <w:rPr>
                <w:lang w:eastAsia="es-MX"/>
              </w:rPr>
              <w:t>Del Gobierno y la Administración Pública Municipal del Estado de Jalisco.</w:t>
            </w:r>
          </w:p>
          <w:p w14:paraId="7907AF3E" w14:textId="77777777" w:rsidR="00E81301" w:rsidRPr="006C59FB" w:rsidRDefault="00E81301" w:rsidP="00DE5491">
            <w:pPr>
              <w:pStyle w:val="Prrafodelista"/>
              <w:numPr>
                <w:ilvl w:val="1"/>
                <w:numId w:val="26"/>
              </w:numPr>
              <w:spacing w:after="0"/>
              <w:jc w:val="both"/>
              <w:rPr>
                <w:lang w:eastAsia="es-MX"/>
              </w:rPr>
            </w:pPr>
            <w:r w:rsidRPr="006C59FB">
              <w:rPr>
                <w:lang w:eastAsia="es-MX"/>
              </w:rPr>
              <w:t>De Hacienda Municipal del Estado de Jalisco.</w:t>
            </w:r>
          </w:p>
          <w:p w14:paraId="36DACA9F" w14:textId="77777777" w:rsidR="00E81301" w:rsidRPr="006C59FB" w:rsidRDefault="00E81301" w:rsidP="00DE5491">
            <w:pPr>
              <w:pStyle w:val="Prrafodelista"/>
              <w:numPr>
                <w:ilvl w:val="1"/>
                <w:numId w:val="26"/>
              </w:numPr>
              <w:spacing w:after="0"/>
              <w:jc w:val="both"/>
              <w:rPr>
                <w:lang w:eastAsia="es-MX"/>
              </w:rPr>
            </w:pPr>
            <w:r w:rsidRPr="006C59FB">
              <w:rPr>
                <w:lang w:eastAsia="es-MX"/>
              </w:rPr>
              <w:t>Del Presupuesto, Contabilidad y Gasto Público del Estado de Jalisco.</w:t>
            </w:r>
          </w:p>
          <w:p w14:paraId="029BFB39" w14:textId="77777777" w:rsidR="00E81301" w:rsidRPr="006C59FB" w:rsidRDefault="00E81301" w:rsidP="00DE5491">
            <w:pPr>
              <w:pStyle w:val="Prrafodelista"/>
              <w:numPr>
                <w:ilvl w:val="1"/>
                <w:numId w:val="26"/>
              </w:numPr>
              <w:spacing w:after="0"/>
              <w:jc w:val="both"/>
              <w:rPr>
                <w:lang w:eastAsia="es-MX"/>
              </w:rPr>
            </w:pPr>
            <w:r w:rsidRPr="006C59FB">
              <w:rPr>
                <w:lang w:eastAsia="es-MX"/>
              </w:rPr>
              <w:t>De Ingresos del Municipio Zapopan, Jalisco.</w:t>
            </w:r>
          </w:p>
          <w:p w14:paraId="35017BCB" w14:textId="77777777" w:rsidR="00E81301" w:rsidRPr="006C59FB" w:rsidRDefault="00E81301" w:rsidP="00DE5491">
            <w:pPr>
              <w:pStyle w:val="Prrafodelista"/>
              <w:numPr>
                <w:ilvl w:val="1"/>
                <w:numId w:val="26"/>
              </w:numPr>
              <w:spacing w:after="0"/>
              <w:jc w:val="both"/>
              <w:rPr>
                <w:lang w:eastAsia="es-MX"/>
              </w:rPr>
            </w:pPr>
            <w:r w:rsidRPr="006C59FB">
              <w:rPr>
                <w:lang w:eastAsia="es-MX"/>
              </w:rPr>
              <w:t>De Fiscalización Superior y Auditoría Pública del Estado de Jalisco y sus Municipios.</w:t>
            </w:r>
          </w:p>
          <w:p w14:paraId="14F6FC88" w14:textId="77777777" w:rsidR="00A51536" w:rsidRDefault="00A51536" w:rsidP="00DE5491">
            <w:pPr>
              <w:spacing w:after="0" w:line="360" w:lineRule="auto"/>
              <w:jc w:val="both"/>
              <w:rPr>
                <w:lang w:eastAsia="es-MX"/>
              </w:rPr>
            </w:pPr>
          </w:p>
          <w:p w14:paraId="6242B975" w14:textId="77777777" w:rsidR="00E81301" w:rsidRPr="006C59FB" w:rsidRDefault="00E81301" w:rsidP="00DE5491">
            <w:pPr>
              <w:spacing w:after="0" w:line="360" w:lineRule="auto"/>
              <w:jc w:val="both"/>
              <w:rPr>
                <w:lang w:eastAsia="es-MX"/>
              </w:rPr>
            </w:pPr>
            <w:r w:rsidRPr="006C59FB">
              <w:rPr>
                <w:lang w:eastAsia="es-MX"/>
              </w:rPr>
              <w:t>Para dar cumplimiento con las anteriores disposiciones, el buen funcionamiento y operatividad del municipio, cuenta con un Reglamento para la Administración Pública Municipal de Zapopan, Jalisco, al cual se le hicieron algunas adecuaciones en su estructura básica para atender las necesidades básicas que le competen al mismo.</w:t>
            </w:r>
            <w:r w:rsidR="00AC595D" w:rsidRPr="006C59FB">
              <w:rPr>
                <w:lang w:eastAsia="es-MX"/>
              </w:rPr>
              <w:t xml:space="preserve"> Dicho reglamento se encuentra disponible en la siguiente dirección</w:t>
            </w:r>
            <w:r w:rsidR="00C427D1">
              <w:rPr>
                <w:lang w:eastAsia="es-MX"/>
              </w:rPr>
              <w:t xml:space="preserve"> </w:t>
            </w:r>
            <w:r w:rsidR="00AC595D" w:rsidRPr="006C59FB">
              <w:rPr>
                <w:lang w:eastAsia="es-MX"/>
              </w:rPr>
              <w:t xml:space="preserve">electrónica: </w:t>
            </w:r>
            <w:hyperlink r:id="rId27" w:history="1">
              <w:r w:rsidR="00AC595D" w:rsidRPr="00C427D1">
                <w:rPr>
                  <w:rStyle w:val="CitaCar"/>
                </w:rPr>
                <w:t>https://servicios.zapopan.gob.mx:8000/wwwportal/publicfiles/descargasEnlaces/11-2022/Reglamento%20de%20la%20Administraci%C3%B3n%20P%C3%BAblica%20Municipal%20de%20Zapopan%2C%20Jalisco.pdf</w:t>
              </w:r>
            </w:hyperlink>
            <w:r w:rsidR="00AC595D" w:rsidRPr="00C427D1">
              <w:rPr>
                <w:rStyle w:val="CitaCar"/>
              </w:rPr>
              <w:t xml:space="preserve"> </w:t>
            </w:r>
          </w:p>
          <w:p w14:paraId="34D1A55B" w14:textId="77777777" w:rsidR="00E84CE7" w:rsidRPr="006C59FB" w:rsidRDefault="00E84CE7" w:rsidP="00DE5491">
            <w:pPr>
              <w:spacing w:after="0"/>
              <w:jc w:val="both"/>
              <w:rPr>
                <w:lang w:eastAsia="es-MX"/>
              </w:rPr>
            </w:pPr>
          </w:p>
          <w:p w14:paraId="69C16474" w14:textId="77777777" w:rsidR="00E81301" w:rsidRPr="00A03A43" w:rsidRDefault="00E81301" w:rsidP="00DE5491">
            <w:pPr>
              <w:pStyle w:val="Prrafodelista"/>
              <w:numPr>
                <w:ilvl w:val="0"/>
                <w:numId w:val="26"/>
              </w:numPr>
              <w:spacing w:after="0"/>
              <w:jc w:val="both"/>
              <w:rPr>
                <w:rStyle w:val="nfasissutil"/>
              </w:rPr>
            </w:pPr>
            <w:r w:rsidRPr="00A03A43">
              <w:rPr>
                <w:rStyle w:val="nfasissutil"/>
              </w:rPr>
              <w:t>Organización y Objeto Social.</w:t>
            </w:r>
          </w:p>
          <w:p w14:paraId="3B37B286" w14:textId="77777777" w:rsidR="00E81301" w:rsidRPr="00C427D1" w:rsidRDefault="00E81301" w:rsidP="00DE5491">
            <w:pPr>
              <w:spacing w:after="0" w:line="360" w:lineRule="auto"/>
              <w:jc w:val="both"/>
              <w:rPr>
                <w:lang w:eastAsia="es-MX"/>
              </w:rPr>
            </w:pPr>
            <w:r w:rsidRPr="00C427D1">
              <w:rPr>
                <w:lang w:eastAsia="es-MX"/>
              </w:rPr>
              <w:t>Objeto Social</w:t>
            </w:r>
          </w:p>
          <w:p w14:paraId="62C8863C" w14:textId="77777777" w:rsidR="00DE5491" w:rsidRDefault="00E81301" w:rsidP="00DE5491">
            <w:pPr>
              <w:spacing w:after="0" w:line="360" w:lineRule="auto"/>
              <w:jc w:val="both"/>
              <w:rPr>
                <w:lang w:eastAsia="es-MX"/>
              </w:rPr>
            </w:pPr>
            <w:r w:rsidRPr="006C59FB">
              <w:rPr>
                <w:lang w:eastAsia="es-MX"/>
              </w:rPr>
              <w:t>Su objeto es ejercer las facultades y obligaciones que competen al poder ejecutivo, de conformidad con lo dispuesto por la Constitución Política de los Estados Unidos Mexicanos y las demás Leyes, reglamentos y disposiciones jurídicas vigentes en el Municipio</w:t>
            </w:r>
            <w:r w:rsidR="00DE5491">
              <w:rPr>
                <w:lang w:eastAsia="es-MX"/>
              </w:rPr>
              <w:t>.</w:t>
            </w:r>
          </w:p>
          <w:p w14:paraId="41D2978B" w14:textId="77777777" w:rsidR="00DE5491" w:rsidRDefault="00DE5491" w:rsidP="00DE5491">
            <w:pPr>
              <w:spacing w:after="0" w:line="240" w:lineRule="auto"/>
              <w:jc w:val="both"/>
              <w:rPr>
                <w:lang w:eastAsia="es-MX"/>
              </w:rPr>
            </w:pPr>
          </w:p>
          <w:p w14:paraId="470C90FA" w14:textId="77777777" w:rsidR="00DE5491" w:rsidRDefault="00DE5491" w:rsidP="00DE5491">
            <w:pPr>
              <w:spacing w:after="0" w:line="240" w:lineRule="auto"/>
              <w:jc w:val="both"/>
              <w:rPr>
                <w:lang w:eastAsia="es-MX"/>
              </w:rPr>
            </w:pPr>
          </w:p>
          <w:p w14:paraId="4822ACB9" w14:textId="77777777" w:rsidR="00DE5491" w:rsidRDefault="00DE5491" w:rsidP="00DE5491">
            <w:pPr>
              <w:spacing w:after="0" w:line="240" w:lineRule="auto"/>
              <w:jc w:val="both"/>
              <w:rPr>
                <w:lang w:eastAsia="es-MX"/>
              </w:rPr>
            </w:pPr>
          </w:p>
          <w:p w14:paraId="7549103E" w14:textId="77777777" w:rsidR="00DE5491" w:rsidRPr="006C59FB" w:rsidRDefault="00DE5491" w:rsidP="00DE5491">
            <w:pPr>
              <w:spacing w:after="0" w:line="240" w:lineRule="auto"/>
              <w:jc w:val="both"/>
              <w:rPr>
                <w:lang w:eastAsia="es-MX"/>
              </w:rPr>
            </w:pPr>
          </w:p>
          <w:p w14:paraId="0F010EF7" w14:textId="77777777" w:rsidR="00E81301" w:rsidRPr="00A03A43" w:rsidRDefault="00E81301" w:rsidP="00DE5491">
            <w:pPr>
              <w:pStyle w:val="Prrafodelista"/>
              <w:numPr>
                <w:ilvl w:val="0"/>
                <w:numId w:val="26"/>
              </w:numPr>
              <w:spacing w:after="0"/>
              <w:jc w:val="both"/>
              <w:rPr>
                <w:rStyle w:val="nfasissutil"/>
              </w:rPr>
            </w:pPr>
            <w:r w:rsidRPr="00A03A43">
              <w:rPr>
                <w:rStyle w:val="nfasissutil"/>
              </w:rPr>
              <w:t>Principal Actividad</w:t>
            </w:r>
          </w:p>
          <w:p w14:paraId="36A7D7B2" w14:textId="77777777" w:rsidR="00E81301" w:rsidRDefault="00E81301" w:rsidP="00DE5491">
            <w:pPr>
              <w:spacing w:after="0" w:line="360" w:lineRule="auto"/>
              <w:jc w:val="both"/>
              <w:rPr>
                <w:lang w:eastAsia="es-MX"/>
              </w:rPr>
            </w:pPr>
            <w:r w:rsidRPr="006C59FB">
              <w:rPr>
                <w:lang w:eastAsia="es-MX"/>
              </w:rPr>
              <w:t>Las que se derivan del ejercicio de sus facultades y obligaciones en su categoría de poder ejecutivo del municipio; que organicen la administración Pública Municipal, regulen las materias, procedimientos, funciones y servicios público de su competencia y aseguren la participación ciudadana.</w:t>
            </w:r>
          </w:p>
          <w:p w14:paraId="600AA9D2" w14:textId="33CC6150" w:rsidR="00DE5491" w:rsidRDefault="00DE5491" w:rsidP="00DE5491">
            <w:pPr>
              <w:spacing w:after="0" w:line="360" w:lineRule="auto"/>
              <w:jc w:val="both"/>
              <w:rPr>
                <w:lang w:eastAsia="es-MX"/>
              </w:rPr>
            </w:pPr>
          </w:p>
          <w:p w14:paraId="42BE1939" w14:textId="11DA6D69" w:rsidR="00444FF5" w:rsidRDefault="00444FF5" w:rsidP="00DE5491">
            <w:pPr>
              <w:spacing w:after="0" w:line="360" w:lineRule="auto"/>
              <w:jc w:val="both"/>
              <w:rPr>
                <w:lang w:eastAsia="es-MX"/>
              </w:rPr>
            </w:pPr>
          </w:p>
          <w:p w14:paraId="03A4167C" w14:textId="77777777" w:rsidR="00444FF5" w:rsidRPr="006C59FB" w:rsidRDefault="00444FF5" w:rsidP="00DE5491">
            <w:pPr>
              <w:spacing w:after="0" w:line="360" w:lineRule="auto"/>
              <w:jc w:val="both"/>
              <w:rPr>
                <w:lang w:eastAsia="es-MX"/>
              </w:rPr>
            </w:pPr>
          </w:p>
          <w:p w14:paraId="1421B52F" w14:textId="77777777" w:rsidR="00E81301" w:rsidRPr="00A03A43" w:rsidRDefault="00E81301" w:rsidP="00A02A63">
            <w:pPr>
              <w:pStyle w:val="Prrafodelista"/>
              <w:numPr>
                <w:ilvl w:val="0"/>
                <w:numId w:val="26"/>
              </w:numPr>
              <w:spacing w:after="0"/>
              <w:jc w:val="both"/>
              <w:rPr>
                <w:rStyle w:val="nfasissutil"/>
              </w:rPr>
            </w:pPr>
            <w:r w:rsidRPr="00A03A43">
              <w:rPr>
                <w:rStyle w:val="nfasissutil"/>
              </w:rPr>
              <w:t>Ejercicio Fiscal</w:t>
            </w:r>
          </w:p>
          <w:p w14:paraId="6C308205" w14:textId="02334ADF" w:rsidR="00E81301" w:rsidRDefault="00E81301" w:rsidP="00A02A63">
            <w:pPr>
              <w:spacing w:after="0" w:line="360" w:lineRule="auto"/>
              <w:jc w:val="both"/>
              <w:rPr>
                <w:lang w:eastAsia="es-MX"/>
              </w:rPr>
            </w:pPr>
            <w:r w:rsidRPr="006C59FB">
              <w:rPr>
                <w:lang w:eastAsia="es-MX"/>
              </w:rPr>
              <w:t>La información que se incluye en estas notas corresponde al period</w:t>
            </w:r>
            <w:r w:rsidR="009926E5" w:rsidRPr="006C59FB">
              <w:rPr>
                <w:lang w:eastAsia="es-MX"/>
              </w:rPr>
              <w:t xml:space="preserve">o comprendido del 1 de </w:t>
            </w:r>
            <w:r w:rsidR="00453A75" w:rsidRPr="006C59FB">
              <w:rPr>
                <w:lang w:eastAsia="es-MX"/>
              </w:rPr>
              <w:t>enero</w:t>
            </w:r>
            <w:r w:rsidR="00C345A7" w:rsidRPr="006C59FB">
              <w:rPr>
                <w:lang w:eastAsia="es-MX"/>
              </w:rPr>
              <w:t xml:space="preserve"> </w:t>
            </w:r>
            <w:r w:rsidR="00EE544D" w:rsidRPr="006C59FB">
              <w:rPr>
                <w:lang w:eastAsia="es-MX"/>
              </w:rPr>
              <w:t xml:space="preserve">al </w:t>
            </w:r>
            <w:r w:rsidR="004148C0">
              <w:rPr>
                <w:lang w:eastAsia="es-MX"/>
              </w:rPr>
              <w:t>30</w:t>
            </w:r>
            <w:r w:rsidR="00EE544D" w:rsidRPr="006C59FB">
              <w:rPr>
                <w:lang w:eastAsia="es-MX"/>
              </w:rPr>
              <w:t xml:space="preserve"> de</w:t>
            </w:r>
            <w:r w:rsidR="00B81952" w:rsidRPr="006C59FB">
              <w:rPr>
                <w:lang w:eastAsia="es-MX"/>
              </w:rPr>
              <w:t xml:space="preserve"> </w:t>
            </w:r>
            <w:r w:rsidR="004148C0">
              <w:rPr>
                <w:lang w:eastAsia="es-MX"/>
              </w:rPr>
              <w:t>junio</w:t>
            </w:r>
            <w:r w:rsidR="009926E5" w:rsidRPr="006C59FB">
              <w:rPr>
                <w:lang w:eastAsia="es-MX"/>
              </w:rPr>
              <w:t xml:space="preserve"> del </w:t>
            </w:r>
            <w:r w:rsidR="00D04891" w:rsidRPr="006C59FB">
              <w:rPr>
                <w:lang w:eastAsia="es-MX"/>
              </w:rPr>
              <w:t>2023</w:t>
            </w:r>
            <w:r w:rsidR="009926E5" w:rsidRPr="006C59FB">
              <w:rPr>
                <w:lang w:eastAsia="es-MX"/>
              </w:rPr>
              <w:t>.</w:t>
            </w:r>
          </w:p>
          <w:p w14:paraId="1BF8F1A1" w14:textId="77777777" w:rsidR="00A02A63" w:rsidRPr="006C59FB" w:rsidRDefault="00A02A63" w:rsidP="00A02A63">
            <w:pPr>
              <w:spacing w:after="0"/>
              <w:jc w:val="both"/>
              <w:rPr>
                <w:lang w:eastAsia="es-MX"/>
              </w:rPr>
            </w:pPr>
          </w:p>
          <w:p w14:paraId="385A720C" w14:textId="77777777" w:rsidR="00E81301" w:rsidRPr="00A03A43" w:rsidRDefault="00E81301" w:rsidP="00A02A63">
            <w:pPr>
              <w:pStyle w:val="Prrafodelista"/>
              <w:numPr>
                <w:ilvl w:val="0"/>
                <w:numId w:val="26"/>
              </w:numPr>
              <w:spacing w:after="0"/>
              <w:jc w:val="both"/>
              <w:rPr>
                <w:rStyle w:val="nfasissutil"/>
              </w:rPr>
            </w:pPr>
            <w:r w:rsidRPr="00A03A43">
              <w:rPr>
                <w:rStyle w:val="nfasissutil"/>
              </w:rPr>
              <w:t>Régimen Jurídico</w:t>
            </w:r>
          </w:p>
          <w:p w14:paraId="00D617EC" w14:textId="77777777" w:rsidR="00E81301" w:rsidRDefault="00E81301" w:rsidP="00A02A63">
            <w:pPr>
              <w:spacing w:after="0" w:line="360" w:lineRule="auto"/>
              <w:jc w:val="both"/>
              <w:rPr>
                <w:lang w:eastAsia="es-MX"/>
              </w:rPr>
            </w:pPr>
            <w:r w:rsidRPr="006C59FB">
              <w:rPr>
                <w:lang w:eastAsia="es-MX"/>
              </w:rPr>
              <w:t>El régimen jurídico del Municipio de Zapopan, Jalisco, está constituido como persona moral con fines no lucrativos.</w:t>
            </w:r>
          </w:p>
          <w:p w14:paraId="306058E1" w14:textId="77777777" w:rsidR="00A02A63" w:rsidRPr="006C59FB" w:rsidRDefault="00A02A63" w:rsidP="00A02A63">
            <w:pPr>
              <w:spacing w:after="0"/>
              <w:jc w:val="both"/>
              <w:rPr>
                <w:lang w:eastAsia="es-MX"/>
              </w:rPr>
            </w:pPr>
          </w:p>
          <w:p w14:paraId="7B3E86A7" w14:textId="77777777" w:rsidR="00E81301" w:rsidRPr="00A03A43" w:rsidRDefault="00E81301" w:rsidP="00A02A63">
            <w:pPr>
              <w:pStyle w:val="Prrafodelista"/>
              <w:numPr>
                <w:ilvl w:val="0"/>
                <w:numId w:val="26"/>
              </w:numPr>
              <w:spacing w:after="0"/>
              <w:jc w:val="both"/>
              <w:rPr>
                <w:rStyle w:val="nfasissutil"/>
              </w:rPr>
            </w:pPr>
            <w:r w:rsidRPr="00A03A43">
              <w:rPr>
                <w:rStyle w:val="nfasissutil"/>
              </w:rPr>
              <w:t>Consideraciones Fiscales del Ente</w:t>
            </w:r>
          </w:p>
          <w:p w14:paraId="28C0B4FC" w14:textId="77777777" w:rsidR="00E81301" w:rsidRDefault="00E81301" w:rsidP="00A02A63">
            <w:pPr>
              <w:spacing w:after="0" w:line="360" w:lineRule="auto"/>
              <w:jc w:val="both"/>
              <w:rPr>
                <w:lang w:eastAsia="es-MX"/>
              </w:rPr>
            </w:pPr>
            <w:r w:rsidRPr="006C59FB">
              <w:rPr>
                <w:lang w:eastAsia="es-MX"/>
              </w:rPr>
              <w:t xml:space="preserve">De Conformidad con el artículo 86 de la Ley del Impuesto Sobre la Renta, el Municipio de Zapopan, únicamente tiene la obligación de retener y enterar el impuesto y exigir documentación que reúna los requisitos fiscales cuando se hagan pagos a terceros y estén obligados a ello en los términos de la Ley. </w:t>
            </w:r>
          </w:p>
          <w:p w14:paraId="03EBF09B" w14:textId="77777777" w:rsidR="00A02A63" w:rsidRPr="006C59FB" w:rsidRDefault="00A02A63" w:rsidP="00A02A63">
            <w:pPr>
              <w:spacing w:after="0"/>
              <w:jc w:val="both"/>
              <w:rPr>
                <w:lang w:eastAsia="es-MX"/>
              </w:rPr>
            </w:pPr>
          </w:p>
          <w:p w14:paraId="0D7A219C" w14:textId="77777777" w:rsidR="00FE2FE5" w:rsidRPr="00A03A43" w:rsidRDefault="00E81301" w:rsidP="00A02A63">
            <w:pPr>
              <w:pStyle w:val="Prrafodelista"/>
              <w:numPr>
                <w:ilvl w:val="0"/>
                <w:numId w:val="26"/>
              </w:numPr>
              <w:spacing w:after="0"/>
              <w:jc w:val="both"/>
              <w:rPr>
                <w:rStyle w:val="nfasissutil"/>
              </w:rPr>
            </w:pPr>
            <w:r w:rsidRPr="00A03A43">
              <w:rPr>
                <w:rStyle w:val="nfasissutil"/>
              </w:rPr>
              <w:t xml:space="preserve">Estructura Organizacional Básica </w:t>
            </w:r>
          </w:p>
          <w:p w14:paraId="21681319" w14:textId="77777777" w:rsidR="009926E5" w:rsidRPr="00A03A43" w:rsidRDefault="0040166E" w:rsidP="00A02A63">
            <w:pPr>
              <w:pStyle w:val="Cita"/>
              <w:spacing w:after="0" w:line="360" w:lineRule="auto"/>
              <w:ind w:left="0"/>
              <w:jc w:val="left"/>
              <w:rPr>
                <w:rStyle w:val="Referenciasutil"/>
              </w:rPr>
            </w:pPr>
            <w:hyperlink r:id="rId28" w:history="1">
              <w:r w:rsidR="00A03A43" w:rsidRPr="00260851">
                <w:rPr>
                  <w:rStyle w:val="Hipervnculo"/>
                </w:rPr>
                <w:t>https://www.zapopan.gob.mx/gobierno/organigrama/</w:t>
              </w:r>
            </w:hyperlink>
          </w:p>
          <w:p w14:paraId="30B16D1E" w14:textId="77777777" w:rsidR="00C427D1" w:rsidRDefault="00C427D1" w:rsidP="00A02A63">
            <w:pPr>
              <w:spacing w:after="0"/>
              <w:jc w:val="both"/>
              <w:rPr>
                <w:bCs/>
                <w:lang w:eastAsia="es-MX"/>
              </w:rPr>
            </w:pPr>
          </w:p>
          <w:p w14:paraId="21B3D2DF" w14:textId="77777777" w:rsidR="009926E5" w:rsidRPr="00A02A63" w:rsidRDefault="00E81301" w:rsidP="00A02A63">
            <w:pPr>
              <w:pStyle w:val="Prrafodelista"/>
              <w:numPr>
                <w:ilvl w:val="0"/>
                <w:numId w:val="26"/>
              </w:numPr>
              <w:spacing w:after="0"/>
              <w:jc w:val="both"/>
              <w:rPr>
                <w:i/>
                <w:iCs/>
                <w:color w:val="404040" w:themeColor="text1" w:themeTint="BF"/>
              </w:rPr>
            </w:pPr>
            <w:r w:rsidRPr="00A03A43">
              <w:rPr>
                <w:rStyle w:val="nfasissutil"/>
              </w:rPr>
              <w:t>Fideicomisos, mandatos y análogos de los cuales es fideicomitente o fiduciario</w:t>
            </w:r>
          </w:p>
          <w:p w14:paraId="0AAD669E" w14:textId="77777777" w:rsidR="00501A9F" w:rsidRPr="006C59FB" w:rsidRDefault="00E81301" w:rsidP="00A02A63">
            <w:pPr>
              <w:spacing w:after="0" w:line="360" w:lineRule="auto"/>
              <w:jc w:val="both"/>
              <w:rPr>
                <w:lang w:eastAsia="es-MX"/>
              </w:rPr>
            </w:pPr>
            <w:r w:rsidRPr="006C59FB">
              <w:rPr>
                <w:lang w:eastAsia="es-MX"/>
              </w:rPr>
              <w:t xml:space="preserve">NO APLICA </w:t>
            </w:r>
          </w:p>
          <w:p w14:paraId="39467851" w14:textId="77777777" w:rsidR="00E81301" w:rsidRPr="006C59FB" w:rsidRDefault="00E81301" w:rsidP="00A02A63">
            <w:pPr>
              <w:spacing w:after="0"/>
              <w:jc w:val="both"/>
              <w:rPr>
                <w:bCs/>
                <w:lang w:eastAsia="es-MX"/>
              </w:rPr>
            </w:pPr>
          </w:p>
          <w:p w14:paraId="5F8288C0" w14:textId="77777777" w:rsidR="00E81301" w:rsidRPr="00A03A43" w:rsidRDefault="00E81301" w:rsidP="00A02A63">
            <w:pPr>
              <w:pStyle w:val="Prrafodelista"/>
              <w:numPr>
                <w:ilvl w:val="0"/>
                <w:numId w:val="26"/>
              </w:numPr>
              <w:spacing w:after="0"/>
              <w:jc w:val="both"/>
              <w:rPr>
                <w:rStyle w:val="nfasissutil"/>
              </w:rPr>
            </w:pPr>
            <w:r w:rsidRPr="00A03A43">
              <w:rPr>
                <w:rStyle w:val="nfasissutil"/>
              </w:rPr>
              <w:t>Bases de Preparación de los Estados Financieros.</w:t>
            </w:r>
          </w:p>
          <w:p w14:paraId="2DC518F9" w14:textId="77777777" w:rsidR="00E81301" w:rsidRDefault="00E81301" w:rsidP="00A02A63">
            <w:pPr>
              <w:spacing w:after="0" w:line="360" w:lineRule="auto"/>
              <w:jc w:val="both"/>
              <w:rPr>
                <w:lang w:eastAsia="es-MX"/>
              </w:rPr>
            </w:pPr>
            <w:r w:rsidRPr="006C59FB">
              <w:rPr>
                <w:lang w:eastAsia="es-MX"/>
              </w:rPr>
              <w:t>Los Estados Financieros y la información emanada de la contabilidad se encuentran expresadas en moneda nacional se sujetan a criterios de utilidad, confiabilidad, relevancia, comprensibilidad y de comparación, así como a otros atributos asociados a cada uno de ellos, como oportunidad, veracidad, representatividad, objetividad, suficiencia, posibilidad de predicción e importancia relativa, con el fin de alcanzar la modernización que la Ley General de Contabilidad Gubernamental determina.</w:t>
            </w:r>
          </w:p>
          <w:p w14:paraId="7D5BDF85" w14:textId="77777777" w:rsidR="00A03A43" w:rsidRPr="006C59FB" w:rsidRDefault="00A03A43" w:rsidP="00A02A63">
            <w:pPr>
              <w:spacing w:after="0"/>
              <w:jc w:val="both"/>
              <w:rPr>
                <w:lang w:eastAsia="es-MX"/>
              </w:rPr>
            </w:pPr>
          </w:p>
          <w:p w14:paraId="489AF411" w14:textId="77777777" w:rsidR="00A03A43" w:rsidRDefault="00E81301" w:rsidP="00A02A63">
            <w:pPr>
              <w:spacing w:after="0" w:line="360" w:lineRule="auto"/>
              <w:jc w:val="both"/>
              <w:rPr>
                <w:lang w:eastAsia="es-MX"/>
              </w:rPr>
            </w:pPr>
            <w:r w:rsidRPr="006C59FB">
              <w:rPr>
                <w:lang w:eastAsia="es-MX"/>
              </w:rPr>
              <w:t>El sistema facilita el reconocimiento de las operaciones de ingresos, gasto, activo, pasivo y patrimoniales.</w:t>
            </w:r>
          </w:p>
          <w:p w14:paraId="7B9208AA" w14:textId="48FF5582" w:rsidR="00A02A63" w:rsidRDefault="00A02A63" w:rsidP="00A02A63">
            <w:pPr>
              <w:spacing w:after="0"/>
              <w:jc w:val="both"/>
              <w:rPr>
                <w:lang w:eastAsia="es-MX"/>
              </w:rPr>
            </w:pPr>
          </w:p>
          <w:p w14:paraId="06803A7D" w14:textId="00509439" w:rsidR="00444FF5" w:rsidRDefault="00444FF5" w:rsidP="00A02A63">
            <w:pPr>
              <w:spacing w:after="0"/>
              <w:jc w:val="both"/>
              <w:rPr>
                <w:lang w:eastAsia="es-MX"/>
              </w:rPr>
            </w:pPr>
          </w:p>
          <w:p w14:paraId="2E52F4C6" w14:textId="77777777" w:rsidR="00444FF5" w:rsidRPr="006C59FB" w:rsidRDefault="00444FF5" w:rsidP="00A02A63">
            <w:pPr>
              <w:spacing w:after="0"/>
              <w:jc w:val="both"/>
              <w:rPr>
                <w:lang w:eastAsia="es-MX"/>
              </w:rPr>
            </w:pPr>
          </w:p>
          <w:p w14:paraId="2C634F74" w14:textId="77777777" w:rsidR="00E81301" w:rsidRDefault="00E81301" w:rsidP="00A02A63">
            <w:pPr>
              <w:spacing w:after="0" w:line="360" w:lineRule="auto"/>
              <w:jc w:val="both"/>
              <w:rPr>
                <w:lang w:eastAsia="es-MX"/>
              </w:rPr>
            </w:pPr>
            <w:r w:rsidRPr="006C59FB">
              <w:rPr>
                <w:lang w:eastAsia="es-MX"/>
              </w:rPr>
              <w:lastRenderedPageBreak/>
              <w:t>Los estados financieros adjuntos de la entidad se prepararon de conformidad con las siguientes disposiciones normativas que le son aplicables en su carácte</w:t>
            </w:r>
            <w:r w:rsidR="00501A9F" w:rsidRPr="006C59FB">
              <w:rPr>
                <w:lang w:eastAsia="es-MX"/>
              </w:rPr>
              <w:t>r de Ayuntamiento del Municipio.</w:t>
            </w:r>
          </w:p>
          <w:p w14:paraId="78EBEBFB" w14:textId="77777777" w:rsidR="00A03A43" w:rsidRPr="006C59FB" w:rsidRDefault="00A03A43" w:rsidP="00A02A63">
            <w:pPr>
              <w:spacing w:after="0"/>
              <w:jc w:val="both"/>
              <w:rPr>
                <w:lang w:eastAsia="es-MX"/>
              </w:rPr>
            </w:pPr>
          </w:p>
          <w:p w14:paraId="0DC8EA08" w14:textId="77777777" w:rsidR="00E81301" w:rsidRDefault="00E81301" w:rsidP="00A02A63">
            <w:pPr>
              <w:spacing w:after="0" w:line="360" w:lineRule="auto"/>
              <w:jc w:val="both"/>
              <w:rPr>
                <w:lang w:eastAsia="es-MX"/>
              </w:rPr>
            </w:pPr>
            <w:r w:rsidRPr="006C59FB">
              <w:rPr>
                <w:lang w:eastAsia="es-MX"/>
              </w:rPr>
              <w:t>Se llevan a cabo las disposiciones vigentes de la Ley General de Contabilidad Gubernamental (LGCG).</w:t>
            </w:r>
          </w:p>
          <w:p w14:paraId="6FC6F378" w14:textId="77777777" w:rsidR="00A03A43" w:rsidRPr="006C59FB" w:rsidRDefault="00A03A43" w:rsidP="00A02A63">
            <w:pPr>
              <w:spacing w:after="0"/>
              <w:jc w:val="both"/>
              <w:rPr>
                <w:lang w:eastAsia="es-MX"/>
              </w:rPr>
            </w:pPr>
          </w:p>
          <w:p w14:paraId="3E773622" w14:textId="77777777" w:rsidR="00E81301" w:rsidRPr="006C59FB" w:rsidRDefault="00E81301" w:rsidP="00A02A63">
            <w:pPr>
              <w:spacing w:after="0" w:line="360" w:lineRule="auto"/>
              <w:jc w:val="both"/>
              <w:rPr>
                <w:i/>
                <w:lang w:eastAsia="es-MX"/>
              </w:rPr>
            </w:pPr>
            <w:r w:rsidRPr="006C59FB">
              <w:rPr>
                <w:lang w:eastAsia="es-MX"/>
              </w:rPr>
              <w:t xml:space="preserve">Lo anterior para lograr cortes parciales en tiempo real de conformidad al Artículo 16 de la Ley General de Contabilidad Gubernamental (LGCG) que a la letra dice </w:t>
            </w:r>
            <w:r w:rsidRPr="006C59FB">
              <w:rPr>
                <w:bCs/>
                <w:i/>
                <w:lang w:eastAsia="es-MX"/>
              </w:rPr>
              <w:t>“</w:t>
            </w:r>
            <w:r w:rsidRPr="006C59FB">
              <w:rPr>
                <w:i/>
                <w:lang w:eastAsia="es-MX"/>
              </w:rPr>
              <w:t>El sistema, al que deberán sujetarse los entes públicos, registrará de manera armónica, delimitada y específica las operaciones presupuestarias y contables derivadas de la gestión pública, así como otros flujos económicos. Asimismo, generará estados financieros, confiables, oportunos, comprensibles, periódicos y comparables, los cuales serán expresados en términos monetarios”.</w:t>
            </w:r>
          </w:p>
          <w:p w14:paraId="7E6493C9" w14:textId="77777777" w:rsidR="00E84CE7" w:rsidRPr="006C59FB" w:rsidRDefault="00E84CE7" w:rsidP="00A02A63">
            <w:pPr>
              <w:spacing w:after="0"/>
              <w:jc w:val="both"/>
              <w:rPr>
                <w:i/>
                <w:lang w:eastAsia="es-MX"/>
              </w:rPr>
            </w:pPr>
          </w:p>
          <w:p w14:paraId="73867343" w14:textId="77777777" w:rsidR="00E81301" w:rsidRPr="00A03A43" w:rsidRDefault="00E81301" w:rsidP="00A02A63">
            <w:pPr>
              <w:pStyle w:val="Prrafodelista"/>
              <w:numPr>
                <w:ilvl w:val="0"/>
                <w:numId w:val="26"/>
              </w:numPr>
              <w:spacing w:after="0"/>
              <w:jc w:val="both"/>
              <w:rPr>
                <w:rStyle w:val="nfasissutil"/>
              </w:rPr>
            </w:pPr>
            <w:r w:rsidRPr="00A03A43">
              <w:rPr>
                <w:rStyle w:val="nfasissutil"/>
              </w:rPr>
              <w:t>Políticas de contabilidad significativas</w:t>
            </w:r>
          </w:p>
          <w:p w14:paraId="0800CB40" w14:textId="77777777" w:rsidR="00E81301" w:rsidRDefault="00E81301" w:rsidP="00A02A63">
            <w:pPr>
              <w:spacing w:after="0" w:line="360" w:lineRule="auto"/>
              <w:jc w:val="both"/>
              <w:rPr>
                <w:lang w:eastAsia="es-MX"/>
              </w:rPr>
            </w:pPr>
            <w:r w:rsidRPr="006C59FB">
              <w:rPr>
                <w:lang w:eastAsia="es-MX"/>
              </w:rPr>
              <w:t>La LGCG requiere el uso de ciertas estimaciones contables en la preparación de estados financieros; asimismo, se requiere el ejercicio de un juicio de parte de la administración en el proceso de definición de las políticas de contabilidad de la Entidad.</w:t>
            </w:r>
          </w:p>
          <w:p w14:paraId="21821E1C" w14:textId="77777777" w:rsidR="00A03A43" w:rsidRPr="006C59FB" w:rsidRDefault="00A03A43" w:rsidP="00A02A63">
            <w:pPr>
              <w:spacing w:after="0"/>
              <w:jc w:val="both"/>
              <w:rPr>
                <w:lang w:eastAsia="es-MX"/>
              </w:rPr>
            </w:pPr>
          </w:p>
          <w:p w14:paraId="17C9D311" w14:textId="77777777" w:rsidR="00E81301" w:rsidRDefault="00E81301" w:rsidP="00A02A63">
            <w:pPr>
              <w:spacing w:after="0" w:line="360" w:lineRule="auto"/>
              <w:jc w:val="both"/>
              <w:rPr>
                <w:lang w:eastAsia="es-MX"/>
              </w:rPr>
            </w:pPr>
            <w:r w:rsidRPr="006C59FB">
              <w:rPr>
                <w:lang w:eastAsia="es-MX"/>
              </w:rPr>
              <w:t>A continuación</w:t>
            </w:r>
            <w:r w:rsidR="00453A75" w:rsidRPr="006C59FB">
              <w:rPr>
                <w:lang w:eastAsia="es-MX"/>
              </w:rPr>
              <w:t>,</w:t>
            </w:r>
            <w:r w:rsidRPr="006C59FB">
              <w:rPr>
                <w:lang w:eastAsia="es-MX"/>
              </w:rPr>
              <w:t xml:space="preserve"> se resumen las políticas de contabilidad más significativas, las cuales han sido aplicadas consistentemente en el periodo que se presenta, a menos que se especifique lo contrario.</w:t>
            </w:r>
          </w:p>
          <w:p w14:paraId="34B3042D" w14:textId="77777777" w:rsidR="00A03A43" w:rsidRPr="006C59FB" w:rsidRDefault="00A03A43" w:rsidP="00A02A63">
            <w:pPr>
              <w:spacing w:after="0"/>
              <w:jc w:val="both"/>
              <w:rPr>
                <w:lang w:eastAsia="es-MX"/>
              </w:rPr>
            </w:pPr>
          </w:p>
          <w:p w14:paraId="52B3F362" w14:textId="719F3FA3" w:rsidR="00E81301" w:rsidRDefault="00E81301" w:rsidP="00A02A63">
            <w:pPr>
              <w:spacing w:after="0" w:line="360" w:lineRule="auto"/>
              <w:jc w:val="both"/>
              <w:rPr>
                <w:lang w:eastAsia="es-MX"/>
              </w:rPr>
            </w:pPr>
            <w:r w:rsidRPr="006C59FB">
              <w:rPr>
                <w:lang w:eastAsia="es-MX"/>
              </w:rPr>
              <w:t xml:space="preserve">Los Estados Financieros </w:t>
            </w:r>
            <w:r w:rsidR="00EE544D" w:rsidRPr="006C59FB">
              <w:rPr>
                <w:lang w:eastAsia="es-MX"/>
              </w:rPr>
              <w:t xml:space="preserve">al </w:t>
            </w:r>
            <w:r w:rsidR="004148C0">
              <w:rPr>
                <w:lang w:eastAsia="es-MX"/>
              </w:rPr>
              <w:t>30</w:t>
            </w:r>
            <w:r w:rsidR="00EE544D" w:rsidRPr="006C59FB">
              <w:rPr>
                <w:lang w:eastAsia="es-MX"/>
              </w:rPr>
              <w:t xml:space="preserve"> </w:t>
            </w:r>
            <w:r w:rsidR="002A199D" w:rsidRPr="006C59FB">
              <w:rPr>
                <w:lang w:eastAsia="es-MX"/>
              </w:rPr>
              <w:t xml:space="preserve">de </w:t>
            </w:r>
            <w:r w:rsidR="004148C0">
              <w:rPr>
                <w:lang w:eastAsia="es-MX"/>
              </w:rPr>
              <w:t>junio de</w:t>
            </w:r>
            <w:r w:rsidR="00913C4A" w:rsidRPr="006C59FB">
              <w:rPr>
                <w:lang w:eastAsia="es-MX"/>
              </w:rPr>
              <w:t xml:space="preserve"> </w:t>
            </w:r>
            <w:r w:rsidR="00D04891" w:rsidRPr="006C59FB">
              <w:rPr>
                <w:lang w:eastAsia="es-MX"/>
              </w:rPr>
              <w:t>2023</w:t>
            </w:r>
            <w:r w:rsidR="00777A11" w:rsidRPr="006C59FB">
              <w:rPr>
                <w:lang w:eastAsia="es-MX"/>
              </w:rPr>
              <w:t>,</w:t>
            </w:r>
            <w:r w:rsidRPr="006C59FB">
              <w:rPr>
                <w:lang w:eastAsia="es-MX"/>
              </w:rPr>
              <w:t xml:space="preserve"> están representados en pesos históricos y no reconocen los efectos de la inflación, en tanto el CONAC no emita lo conducente.</w:t>
            </w:r>
          </w:p>
          <w:p w14:paraId="5C8CE9EA" w14:textId="77777777" w:rsidR="00A03A43" w:rsidRPr="006C59FB" w:rsidRDefault="00A03A43" w:rsidP="00A02A63">
            <w:pPr>
              <w:spacing w:after="0"/>
              <w:jc w:val="both"/>
              <w:rPr>
                <w:lang w:eastAsia="es-MX"/>
              </w:rPr>
            </w:pPr>
          </w:p>
          <w:p w14:paraId="24F6A4C1" w14:textId="77777777" w:rsidR="007A3C6F" w:rsidRDefault="00E81301" w:rsidP="00A02A63">
            <w:pPr>
              <w:spacing w:after="0" w:line="360" w:lineRule="auto"/>
              <w:jc w:val="both"/>
              <w:rPr>
                <w:lang w:eastAsia="es-MX"/>
              </w:rPr>
            </w:pPr>
            <w:r w:rsidRPr="006C59FB">
              <w:rPr>
                <w:lang w:eastAsia="es-MX"/>
              </w:rPr>
              <w:t>La información se elabora conforme a las normas, criterios y principios técnicos emitidos por el CONAC y las disposiciones legales aplicables, obedeciendo a las mejores prácticas contables.</w:t>
            </w:r>
          </w:p>
          <w:p w14:paraId="251B456D" w14:textId="77777777" w:rsidR="00A03A43" w:rsidRPr="006C59FB" w:rsidRDefault="00A03A43" w:rsidP="00A02A63">
            <w:pPr>
              <w:spacing w:after="0"/>
              <w:jc w:val="both"/>
              <w:rPr>
                <w:lang w:eastAsia="es-MX"/>
              </w:rPr>
            </w:pPr>
          </w:p>
          <w:p w14:paraId="22431AC0" w14:textId="77777777" w:rsidR="00E81301" w:rsidRDefault="00E81301" w:rsidP="00A02A63">
            <w:pPr>
              <w:spacing w:after="0" w:line="360" w:lineRule="auto"/>
              <w:jc w:val="both"/>
              <w:rPr>
                <w:lang w:eastAsia="es-MX"/>
              </w:rPr>
            </w:pPr>
            <w:r w:rsidRPr="006C59FB">
              <w:rPr>
                <w:lang w:eastAsia="es-MX"/>
              </w:rPr>
              <w:t>Para la clasificación de las operaciones presupuestarias y contables se alinea el Clasificador por Objeto del gasto, Clasificador por Tipo de Gasto y Clasificador por Rubro de Ingresos emitidos por el CONAC.</w:t>
            </w:r>
          </w:p>
          <w:p w14:paraId="0365FB6A" w14:textId="77777777" w:rsidR="00A03A43" w:rsidRDefault="00A03A43" w:rsidP="00A02A63">
            <w:pPr>
              <w:spacing w:after="0"/>
              <w:jc w:val="both"/>
              <w:rPr>
                <w:lang w:eastAsia="es-MX"/>
              </w:rPr>
            </w:pPr>
          </w:p>
          <w:p w14:paraId="7A6AC5CE" w14:textId="77777777" w:rsidR="00A51536" w:rsidRPr="006C59FB" w:rsidRDefault="00A51536" w:rsidP="00A02A63">
            <w:pPr>
              <w:spacing w:after="0"/>
              <w:jc w:val="both"/>
              <w:rPr>
                <w:lang w:eastAsia="es-MX"/>
              </w:rPr>
            </w:pPr>
          </w:p>
          <w:p w14:paraId="6D3367CB" w14:textId="77777777" w:rsidR="00A03A43" w:rsidRPr="006C59FB" w:rsidRDefault="00E81301" w:rsidP="00A02A63">
            <w:pPr>
              <w:spacing w:after="0" w:line="360" w:lineRule="auto"/>
              <w:jc w:val="both"/>
              <w:rPr>
                <w:lang w:eastAsia="es-MX"/>
              </w:rPr>
            </w:pPr>
            <w:r w:rsidRPr="006C59FB">
              <w:rPr>
                <w:lang w:eastAsia="es-MX"/>
              </w:rPr>
              <w:t>Los bienes inmuebles, infraestructura y bienes muebles se expresan a su costo histórico.</w:t>
            </w:r>
          </w:p>
          <w:p w14:paraId="6821CF9A" w14:textId="77777777" w:rsidR="00E81301" w:rsidRDefault="00E81301" w:rsidP="00A02A63">
            <w:pPr>
              <w:spacing w:after="0" w:line="360" w:lineRule="auto"/>
              <w:jc w:val="both"/>
              <w:rPr>
                <w:lang w:eastAsia="es-MX"/>
              </w:rPr>
            </w:pPr>
            <w:r w:rsidRPr="006C59FB">
              <w:rPr>
                <w:lang w:eastAsia="es-MX"/>
              </w:rPr>
              <w:t xml:space="preserve">El régimen fiscal aplicable al Municipio de Zapopan, Jalisco, es el correspondiente Título III Del Régimen de las Persona Morales con Fines No Lucrativos según al artículo 79 de la Ley del Impuesto </w:t>
            </w:r>
            <w:r w:rsidRPr="006C59FB">
              <w:rPr>
                <w:lang w:eastAsia="es-MX"/>
              </w:rPr>
              <w:lastRenderedPageBreak/>
              <w:t xml:space="preserve">Sobre la </w:t>
            </w:r>
            <w:r w:rsidR="00A51536" w:rsidRPr="006C59FB">
              <w:rPr>
                <w:lang w:eastAsia="es-MX"/>
              </w:rPr>
              <w:t>Renta,</w:t>
            </w:r>
            <w:r w:rsidRPr="006C59FB">
              <w:rPr>
                <w:lang w:eastAsia="es-MX"/>
              </w:rPr>
              <w:t xml:space="preserve"> por lo tanto, El Municipio no es sujeto d</w:t>
            </w:r>
            <w:r w:rsidR="00F716F4" w:rsidRPr="006C59FB">
              <w:rPr>
                <w:lang w:eastAsia="es-MX"/>
              </w:rPr>
              <w:t>el Impuesto Sobre la Renta (ISR</w:t>
            </w:r>
            <w:r w:rsidRPr="006C59FB">
              <w:rPr>
                <w:lang w:eastAsia="es-MX"/>
              </w:rPr>
              <w:t>), así como del pago de la Participación de los Trabajadores en las Utilidades (PTU) por ser Gobierno Municipal.</w:t>
            </w:r>
            <w:r w:rsidR="00A51536">
              <w:rPr>
                <w:lang w:eastAsia="es-MX"/>
              </w:rPr>
              <w:t xml:space="preserve"> </w:t>
            </w:r>
            <w:r w:rsidRPr="006C59FB">
              <w:rPr>
                <w:lang w:eastAsia="es-MX"/>
              </w:rPr>
              <w:t>Por no ser sujeto al ISR, la Entidad no calcula impuestos diferidos como lo requiere la NIF D-4 “impuestos a la utilidad” emitida por el CINIF.</w:t>
            </w:r>
          </w:p>
          <w:p w14:paraId="742646B2" w14:textId="77777777" w:rsidR="00A03A43" w:rsidRPr="006C59FB" w:rsidRDefault="00A03A43" w:rsidP="00A02A63">
            <w:pPr>
              <w:spacing w:after="0"/>
              <w:jc w:val="both"/>
              <w:rPr>
                <w:lang w:eastAsia="es-MX"/>
              </w:rPr>
            </w:pPr>
          </w:p>
          <w:p w14:paraId="7B730F40" w14:textId="77777777" w:rsidR="00E81301" w:rsidRPr="006C59FB" w:rsidRDefault="00E81301" w:rsidP="00A02A63">
            <w:pPr>
              <w:spacing w:after="0" w:line="360" w:lineRule="auto"/>
              <w:jc w:val="both"/>
              <w:rPr>
                <w:lang w:eastAsia="es-MX"/>
              </w:rPr>
            </w:pPr>
            <w:r w:rsidRPr="006C59FB">
              <w:rPr>
                <w:lang w:eastAsia="es-MX"/>
              </w:rPr>
              <w:t>Estas Leyes establecen que estas entidades sólo tendrán la obligación de retener y enterar el impuesto y exigir la documentación que reúna los requisitos fiscales cuando hagan pagos a terceros y estén obligadas a ello en términos de la Ley del ISR.</w:t>
            </w:r>
          </w:p>
          <w:p w14:paraId="081CFC5F" w14:textId="77777777" w:rsidR="00501A9F" w:rsidRPr="006C59FB" w:rsidRDefault="00501A9F" w:rsidP="00A02A63">
            <w:pPr>
              <w:spacing w:after="0"/>
              <w:jc w:val="both"/>
              <w:rPr>
                <w:lang w:eastAsia="es-MX"/>
              </w:rPr>
            </w:pPr>
          </w:p>
          <w:p w14:paraId="5B0A6E33" w14:textId="77777777" w:rsidR="00E81301" w:rsidRPr="00A03A43" w:rsidRDefault="00E81301" w:rsidP="00A02A63">
            <w:pPr>
              <w:pStyle w:val="Prrafodelista"/>
              <w:numPr>
                <w:ilvl w:val="0"/>
                <w:numId w:val="26"/>
              </w:numPr>
              <w:spacing w:after="0"/>
              <w:jc w:val="both"/>
              <w:rPr>
                <w:rStyle w:val="nfasissutil"/>
              </w:rPr>
            </w:pPr>
            <w:r w:rsidRPr="00A03A43">
              <w:rPr>
                <w:rStyle w:val="nfasissutil"/>
              </w:rPr>
              <w:t>Posición en Moneda Extranjera y Protección por Riesgo Cambiario:</w:t>
            </w:r>
          </w:p>
          <w:p w14:paraId="3A328261" w14:textId="77777777" w:rsidR="00E81301" w:rsidRPr="006C59FB" w:rsidRDefault="00E81301" w:rsidP="00A02A63">
            <w:pPr>
              <w:spacing w:after="0" w:line="360" w:lineRule="auto"/>
              <w:jc w:val="both"/>
              <w:rPr>
                <w:bCs/>
                <w:lang w:eastAsia="es-MX"/>
              </w:rPr>
            </w:pPr>
            <w:r w:rsidRPr="006C59FB">
              <w:rPr>
                <w:bCs/>
                <w:lang w:eastAsia="es-MX"/>
              </w:rPr>
              <w:t>NO APLICA</w:t>
            </w:r>
          </w:p>
          <w:p w14:paraId="3EC093A3" w14:textId="77777777" w:rsidR="00453A75" w:rsidRPr="006C59FB" w:rsidRDefault="00453A75" w:rsidP="00A02A63">
            <w:pPr>
              <w:spacing w:after="0"/>
              <w:jc w:val="both"/>
              <w:rPr>
                <w:bCs/>
                <w:lang w:eastAsia="es-MX"/>
              </w:rPr>
            </w:pPr>
          </w:p>
          <w:p w14:paraId="7CECAA3B" w14:textId="77777777" w:rsidR="00E81301" w:rsidRPr="00A03A43" w:rsidRDefault="00E81301" w:rsidP="00A02A63">
            <w:pPr>
              <w:pStyle w:val="Prrafodelista"/>
              <w:numPr>
                <w:ilvl w:val="0"/>
                <w:numId w:val="26"/>
              </w:numPr>
              <w:spacing w:after="0"/>
              <w:jc w:val="both"/>
              <w:rPr>
                <w:rStyle w:val="nfasissutil"/>
              </w:rPr>
            </w:pPr>
            <w:r w:rsidRPr="00A03A43">
              <w:rPr>
                <w:rStyle w:val="nfasissutil"/>
              </w:rPr>
              <w:t>Reporte Analítico del Activo:</w:t>
            </w:r>
          </w:p>
          <w:p w14:paraId="1E4B875B" w14:textId="77777777" w:rsidR="00F716F4" w:rsidRDefault="00F716F4" w:rsidP="00A02A63">
            <w:pPr>
              <w:spacing w:after="0" w:line="360" w:lineRule="auto"/>
              <w:jc w:val="both"/>
              <w:rPr>
                <w:lang w:eastAsia="es-MX"/>
              </w:rPr>
            </w:pPr>
            <w:r w:rsidRPr="006C59FB">
              <w:rPr>
                <w:lang w:eastAsia="es-MX"/>
              </w:rPr>
              <w:t>El monto de la depreciación como la amortización se calculan dentro del municipio considerando el costo de adquisición del activo depreciable o amortizable, menos su valor de desecho, entre los años correspondientes a su vida útil o su vida económica.</w:t>
            </w:r>
          </w:p>
          <w:p w14:paraId="52947384" w14:textId="77777777" w:rsidR="00A03A43" w:rsidRPr="006C59FB" w:rsidRDefault="00A03A43" w:rsidP="00A02A63">
            <w:pPr>
              <w:spacing w:after="0"/>
              <w:jc w:val="both"/>
              <w:rPr>
                <w:lang w:eastAsia="es-MX"/>
              </w:rPr>
            </w:pPr>
          </w:p>
          <w:p w14:paraId="24207768" w14:textId="77777777" w:rsidR="00E81301" w:rsidRDefault="00E81301" w:rsidP="00A02A63">
            <w:pPr>
              <w:spacing w:after="0" w:line="360" w:lineRule="auto"/>
              <w:jc w:val="both"/>
              <w:rPr>
                <w:lang w:eastAsia="es-MX"/>
              </w:rPr>
            </w:pPr>
            <w:r w:rsidRPr="006C59FB">
              <w:rPr>
                <w:lang w:eastAsia="es-MX"/>
              </w:rPr>
              <w:t>En el presente ejercicio no se capitalizaron gastos financieros o de investigación y desarrollo</w:t>
            </w:r>
            <w:r w:rsidR="00080875" w:rsidRPr="006C59FB">
              <w:rPr>
                <w:lang w:eastAsia="es-MX"/>
              </w:rPr>
              <w:t>.</w:t>
            </w:r>
          </w:p>
          <w:p w14:paraId="0C918C34" w14:textId="77777777" w:rsidR="00A03A43" w:rsidRPr="006C59FB" w:rsidRDefault="00A03A43" w:rsidP="00A02A63">
            <w:pPr>
              <w:spacing w:after="0"/>
              <w:jc w:val="both"/>
              <w:rPr>
                <w:lang w:eastAsia="es-MX"/>
              </w:rPr>
            </w:pPr>
          </w:p>
          <w:p w14:paraId="46BC5BF1" w14:textId="77777777" w:rsidR="00E81301" w:rsidRDefault="00E81301" w:rsidP="00A02A63">
            <w:pPr>
              <w:spacing w:after="0" w:line="360" w:lineRule="auto"/>
              <w:jc w:val="both"/>
              <w:rPr>
                <w:lang w:eastAsia="es-MX"/>
              </w:rPr>
            </w:pPr>
            <w:r w:rsidRPr="006C59FB">
              <w:rPr>
                <w:lang w:eastAsia="es-MX"/>
              </w:rPr>
              <w:t>No se cuenta con inversiones financieras de las cuales se deriven riesgos por tipo de cambio y tasas de interés.</w:t>
            </w:r>
          </w:p>
          <w:p w14:paraId="431FF71B" w14:textId="77777777" w:rsidR="00A03A43" w:rsidRPr="006C59FB" w:rsidRDefault="00A03A43" w:rsidP="00A02A63">
            <w:pPr>
              <w:spacing w:after="0"/>
              <w:jc w:val="both"/>
              <w:rPr>
                <w:lang w:eastAsia="es-MX"/>
              </w:rPr>
            </w:pPr>
          </w:p>
          <w:p w14:paraId="3C579662" w14:textId="77777777" w:rsidR="00E81301" w:rsidRDefault="00E81301" w:rsidP="00A02A63">
            <w:pPr>
              <w:spacing w:after="0" w:line="360" w:lineRule="auto"/>
              <w:jc w:val="both"/>
              <w:rPr>
                <w:lang w:eastAsia="es-MX"/>
              </w:rPr>
            </w:pPr>
            <w:r w:rsidRPr="006C59FB">
              <w:rPr>
                <w:lang w:eastAsia="es-MX"/>
              </w:rPr>
              <w:t>No se tiene conocimiento de circunstancias que afecten el activo, tales como bienes en garantía señalados en embargos, litigios, títulos de inversiones entregados en garantía, baja significativa de valor de inversiones financieras.</w:t>
            </w:r>
          </w:p>
          <w:p w14:paraId="073103B3" w14:textId="77777777" w:rsidR="00A02A63" w:rsidRPr="006C59FB" w:rsidRDefault="00A02A63" w:rsidP="00A02A63">
            <w:pPr>
              <w:spacing w:after="0"/>
              <w:jc w:val="both"/>
              <w:rPr>
                <w:lang w:eastAsia="es-MX"/>
              </w:rPr>
            </w:pPr>
          </w:p>
          <w:p w14:paraId="7E67922F" w14:textId="77777777" w:rsidR="00E81301" w:rsidRPr="006C59FB" w:rsidRDefault="00E81301" w:rsidP="00A02A63">
            <w:pPr>
              <w:spacing w:after="0" w:line="360" w:lineRule="auto"/>
              <w:jc w:val="both"/>
              <w:rPr>
                <w:lang w:eastAsia="es-MX"/>
              </w:rPr>
            </w:pPr>
            <w:r w:rsidRPr="006C59FB">
              <w:rPr>
                <w:lang w:eastAsia="es-MX"/>
              </w:rPr>
              <w:t xml:space="preserve">Se aplican las políticas establecidas para la administración de activos se utilicen de manera más efectivas. </w:t>
            </w:r>
          </w:p>
          <w:p w14:paraId="66602310" w14:textId="77777777" w:rsidR="00EE5672" w:rsidRDefault="00EE5672" w:rsidP="00A02A63">
            <w:pPr>
              <w:spacing w:after="0" w:line="240" w:lineRule="auto"/>
              <w:jc w:val="both"/>
              <w:rPr>
                <w:lang w:eastAsia="es-MX"/>
              </w:rPr>
            </w:pPr>
          </w:p>
          <w:p w14:paraId="112DFEBF" w14:textId="77777777" w:rsidR="00A02A63" w:rsidRDefault="00A02A63" w:rsidP="00A02A63">
            <w:pPr>
              <w:spacing w:after="0" w:line="240" w:lineRule="auto"/>
              <w:jc w:val="both"/>
              <w:rPr>
                <w:lang w:eastAsia="es-MX"/>
              </w:rPr>
            </w:pPr>
          </w:p>
          <w:p w14:paraId="2C92A860" w14:textId="77777777" w:rsidR="00A02A63" w:rsidRDefault="00A02A63" w:rsidP="00A02A63">
            <w:pPr>
              <w:spacing w:after="0" w:line="240" w:lineRule="auto"/>
              <w:jc w:val="both"/>
              <w:rPr>
                <w:lang w:eastAsia="es-MX"/>
              </w:rPr>
            </w:pPr>
          </w:p>
          <w:p w14:paraId="11522D31" w14:textId="3F850DE6" w:rsidR="00A02A63" w:rsidRDefault="00A02A63" w:rsidP="00A02A63">
            <w:pPr>
              <w:spacing w:after="0" w:line="240" w:lineRule="auto"/>
              <w:jc w:val="both"/>
              <w:rPr>
                <w:lang w:eastAsia="es-MX"/>
              </w:rPr>
            </w:pPr>
          </w:p>
          <w:p w14:paraId="6E72FABB" w14:textId="4C09D164" w:rsidR="00444FF5" w:rsidRDefault="00444FF5" w:rsidP="00A02A63">
            <w:pPr>
              <w:spacing w:after="0" w:line="240" w:lineRule="auto"/>
              <w:jc w:val="both"/>
              <w:rPr>
                <w:lang w:eastAsia="es-MX"/>
              </w:rPr>
            </w:pPr>
          </w:p>
          <w:p w14:paraId="2FB2D41A" w14:textId="7A7FBD10" w:rsidR="00444FF5" w:rsidRDefault="00444FF5" w:rsidP="00A02A63">
            <w:pPr>
              <w:spacing w:after="0" w:line="240" w:lineRule="auto"/>
              <w:jc w:val="both"/>
              <w:rPr>
                <w:lang w:eastAsia="es-MX"/>
              </w:rPr>
            </w:pPr>
          </w:p>
          <w:p w14:paraId="118503EE" w14:textId="36F47157" w:rsidR="00444FF5" w:rsidRDefault="00444FF5" w:rsidP="00A02A63">
            <w:pPr>
              <w:spacing w:after="0" w:line="240" w:lineRule="auto"/>
              <w:jc w:val="both"/>
              <w:rPr>
                <w:lang w:eastAsia="es-MX"/>
              </w:rPr>
            </w:pPr>
          </w:p>
          <w:p w14:paraId="5AACF311" w14:textId="77777777" w:rsidR="00444FF5" w:rsidRDefault="00444FF5" w:rsidP="00A02A63">
            <w:pPr>
              <w:spacing w:after="0" w:line="240" w:lineRule="auto"/>
              <w:jc w:val="both"/>
              <w:rPr>
                <w:lang w:eastAsia="es-MX"/>
              </w:rPr>
            </w:pPr>
          </w:p>
          <w:p w14:paraId="189C5AC3" w14:textId="77777777" w:rsidR="00A02A63" w:rsidRPr="006C59FB" w:rsidRDefault="00A02A63" w:rsidP="00A02A63">
            <w:pPr>
              <w:spacing w:after="0" w:line="240" w:lineRule="auto"/>
              <w:jc w:val="both"/>
              <w:rPr>
                <w:lang w:eastAsia="es-MX"/>
              </w:rPr>
            </w:pPr>
          </w:p>
          <w:p w14:paraId="4152B9E4" w14:textId="77777777" w:rsidR="00E81301" w:rsidRPr="00A03A43" w:rsidRDefault="00E81301" w:rsidP="00A02A63">
            <w:pPr>
              <w:pStyle w:val="Prrafodelista"/>
              <w:numPr>
                <w:ilvl w:val="0"/>
                <w:numId w:val="26"/>
              </w:numPr>
              <w:spacing w:after="0"/>
              <w:jc w:val="both"/>
              <w:rPr>
                <w:rStyle w:val="nfasissutil"/>
              </w:rPr>
            </w:pPr>
            <w:r w:rsidRPr="00A03A43">
              <w:rPr>
                <w:rStyle w:val="nfasissutil"/>
              </w:rPr>
              <w:lastRenderedPageBreak/>
              <w:t>Fideicomisos, Mandatos y Análogos:</w:t>
            </w:r>
          </w:p>
          <w:p w14:paraId="1DB22B82" w14:textId="77777777" w:rsidR="00E81301" w:rsidRDefault="002A199D" w:rsidP="00A02A63">
            <w:pPr>
              <w:spacing w:after="0" w:line="360" w:lineRule="auto"/>
              <w:jc w:val="both"/>
              <w:rPr>
                <w:lang w:eastAsia="es-MX"/>
              </w:rPr>
            </w:pPr>
            <w:r w:rsidRPr="006C59FB">
              <w:rPr>
                <w:bCs/>
                <w:lang w:eastAsia="es-MX"/>
              </w:rPr>
              <w:t>“</w:t>
            </w:r>
            <w:r w:rsidR="00E81301" w:rsidRPr="006C59FB">
              <w:rPr>
                <w:lang w:eastAsia="es-MX"/>
              </w:rPr>
              <w:t xml:space="preserve">El Municipio de Zapopan cuenta con </w:t>
            </w:r>
            <w:r w:rsidR="0001557D" w:rsidRPr="006C59FB">
              <w:rPr>
                <w:lang w:eastAsia="es-MX"/>
              </w:rPr>
              <w:t>tres</w:t>
            </w:r>
            <w:r w:rsidR="00E81301" w:rsidRPr="006C59FB">
              <w:rPr>
                <w:lang w:eastAsia="es-MX"/>
              </w:rPr>
              <w:t xml:space="preserve"> Contratos de Fideicomisos, el Fideicomiso Maestro 106807-3 celebrado con el Banco Nacional de México, S.A de Fomento Económico para el Ayuntamiento de Zapopan, este Fideicomiso de Administración  e Inversión es Destinado a otorgar apoyos y estímulos económicos a personas con proyectos productivos, al desarrollo integral de los microempresarios, así como a la micro, pequeña y mediana empresa ubicados en el Municipio de Zapopan con la Finalidad, de fomentar la creación permanencia y consolidación de la misma.</w:t>
            </w:r>
          </w:p>
          <w:p w14:paraId="573BDF3C" w14:textId="77777777" w:rsidR="00A03A43" w:rsidRPr="006C59FB" w:rsidRDefault="00A03A43" w:rsidP="00A02A63">
            <w:pPr>
              <w:spacing w:after="0"/>
              <w:jc w:val="both"/>
              <w:rPr>
                <w:lang w:eastAsia="es-MX"/>
              </w:rPr>
            </w:pPr>
          </w:p>
          <w:p w14:paraId="2EEFE5CD" w14:textId="77777777" w:rsidR="00E81301" w:rsidRDefault="00E81301" w:rsidP="00A02A63">
            <w:pPr>
              <w:spacing w:after="0" w:line="360" w:lineRule="auto"/>
              <w:jc w:val="both"/>
              <w:rPr>
                <w:lang w:eastAsia="es-MX"/>
              </w:rPr>
            </w:pPr>
            <w:r w:rsidRPr="006C59FB">
              <w:rPr>
                <w:lang w:eastAsia="es-MX"/>
              </w:rPr>
              <w:t xml:space="preserve">El Fideicomiso F/000111-(FID00111) Fideicomiso de Garantía y Administración y Fuente de Pago con el New York Mellón Bank Actualmente fusionante del Banco </w:t>
            </w:r>
            <w:r w:rsidR="00A51536">
              <w:rPr>
                <w:lang w:eastAsia="es-MX"/>
              </w:rPr>
              <w:t>CIBanco</w:t>
            </w:r>
            <w:r w:rsidRPr="006C59FB">
              <w:rPr>
                <w:lang w:eastAsia="es-MX"/>
              </w:rPr>
              <w:t xml:space="preserve"> SA Institución de Banca Múltiple, en este fideicomiso se reciben participaciones federales que por derecho corresponden </w:t>
            </w:r>
            <w:r w:rsidR="007A3C6F" w:rsidRPr="006C59FB">
              <w:rPr>
                <w:lang w:eastAsia="es-MX"/>
              </w:rPr>
              <w:t>al</w:t>
            </w:r>
            <w:r w:rsidRPr="006C59FB">
              <w:rPr>
                <w:lang w:eastAsia="es-MX"/>
              </w:rPr>
              <w:t xml:space="preserve"> Ayuntamiento, de cuyo monto mensual se descuentan </w:t>
            </w:r>
            <w:r w:rsidR="00A02A63" w:rsidRPr="006C59FB">
              <w:rPr>
                <w:lang w:eastAsia="es-MX"/>
              </w:rPr>
              <w:t>los pagos</w:t>
            </w:r>
            <w:r w:rsidRPr="006C59FB">
              <w:rPr>
                <w:lang w:eastAsia="es-MX"/>
              </w:rPr>
              <w:t xml:space="preserve"> de capital a interés por créditos contratados con los bancos, así como los honorarios fiduciarios”.</w:t>
            </w:r>
          </w:p>
          <w:p w14:paraId="444FBD9E" w14:textId="77777777" w:rsidR="00A03A43" w:rsidRPr="006C59FB" w:rsidRDefault="00A03A43" w:rsidP="00A02A63">
            <w:pPr>
              <w:spacing w:after="0"/>
              <w:jc w:val="both"/>
              <w:rPr>
                <w:lang w:eastAsia="es-MX"/>
              </w:rPr>
            </w:pPr>
          </w:p>
          <w:p w14:paraId="422A2F90" w14:textId="77777777" w:rsidR="0006500B" w:rsidRPr="006C59FB" w:rsidRDefault="0001557D" w:rsidP="00A02A63">
            <w:pPr>
              <w:spacing w:after="0" w:line="360" w:lineRule="auto"/>
              <w:jc w:val="both"/>
              <w:rPr>
                <w:lang w:eastAsia="es-MX"/>
              </w:rPr>
            </w:pPr>
            <w:r w:rsidRPr="006C59FB">
              <w:rPr>
                <w:lang w:eastAsia="es-MX"/>
              </w:rPr>
              <w:t xml:space="preserve">El Fideicomiso F/0016 Fideicomiso </w:t>
            </w:r>
            <w:r w:rsidR="006300B6" w:rsidRPr="006C59FB">
              <w:rPr>
                <w:lang w:eastAsia="es-MX"/>
              </w:rPr>
              <w:t xml:space="preserve">de Institución de Banca Múltiple, Monex Grupo Financiero, Fideicomiso Irrevocable de Administración y fuente de pago identificado con el Número F/3087, el Fideicomiso Maestro Municipal, como mecanismo de distribución total de los ingresos derivados del Fondo General de Participaciones y el Fondo de Fomento Municipal o </w:t>
            </w:r>
            <w:r w:rsidR="007C6E84" w:rsidRPr="006C59FB">
              <w:rPr>
                <w:lang w:eastAsia="es-MX"/>
              </w:rPr>
              <w:t>cualquier otro fondo</w:t>
            </w:r>
            <w:r w:rsidR="006300B6" w:rsidRPr="006C59FB">
              <w:rPr>
                <w:lang w:eastAsia="es-MX"/>
              </w:rPr>
              <w:t>, y/o derechos y/o ingresos provenientes</w:t>
            </w:r>
            <w:r w:rsidR="00AC3FBF" w:rsidRPr="006C59FB">
              <w:rPr>
                <w:lang w:eastAsia="es-MX"/>
              </w:rPr>
              <w:t xml:space="preserve"> de la Federación.</w:t>
            </w:r>
          </w:p>
          <w:p w14:paraId="676F86FE" w14:textId="77777777" w:rsidR="00453A75" w:rsidRPr="006C59FB" w:rsidRDefault="00453A75" w:rsidP="00A02A63">
            <w:pPr>
              <w:spacing w:after="0"/>
              <w:jc w:val="both"/>
              <w:rPr>
                <w:lang w:eastAsia="es-MX"/>
              </w:rPr>
            </w:pPr>
          </w:p>
          <w:p w14:paraId="3C9ABCC1" w14:textId="77777777" w:rsidR="00E81301" w:rsidRPr="00A03A43" w:rsidRDefault="00E81301" w:rsidP="00A02A63">
            <w:pPr>
              <w:pStyle w:val="Prrafodelista"/>
              <w:numPr>
                <w:ilvl w:val="0"/>
                <w:numId w:val="26"/>
              </w:numPr>
              <w:spacing w:after="0"/>
              <w:jc w:val="both"/>
              <w:rPr>
                <w:rStyle w:val="nfasissutil"/>
              </w:rPr>
            </w:pPr>
            <w:r w:rsidRPr="00A03A43">
              <w:rPr>
                <w:rStyle w:val="nfasissutil"/>
              </w:rPr>
              <w:t>Reporte de Recaudación:</w:t>
            </w:r>
          </w:p>
          <w:tbl>
            <w:tblPr>
              <w:tblpPr w:leftFromText="141" w:rightFromText="141" w:vertAnchor="text" w:horzAnchor="margin" w:tblpXSpec="center" w:tblpY="279"/>
              <w:tblOverlap w:val="never"/>
              <w:tblW w:w="8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9"/>
              <w:gridCol w:w="2352"/>
              <w:gridCol w:w="2218"/>
            </w:tblGrid>
            <w:tr w:rsidR="00893E78" w:rsidRPr="004148C0" w14:paraId="41198CD0" w14:textId="77777777" w:rsidTr="00A02A63">
              <w:trPr>
                <w:trHeight w:val="51"/>
              </w:trPr>
              <w:tc>
                <w:tcPr>
                  <w:tcW w:w="4069" w:type="dxa"/>
                  <w:tcBorders>
                    <w:top w:val="single" w:sz="6" w:space="0" w:color="auto"/>
                    <w:left w:val="single" w:sz="6" w:space="0" w:color="auto"/>
                    <w:bottom w:val="single" w:sz="6" w:space="0" w:color="auto"/>
                    <w:right w:val="single" w:sz="6" w:space="0" w:color="auto"/>
                  </w:tcBorders>
                  <w:vAlign w:val="center"/>
                </w:tcPr>
                <w:p w14:paraId="174802F8" w14:textId="77777777" w:rsidR="00893E78" w:rsidRPr="00E73D5C" w:rsidRDefault="00893E78" w:rsidP="00A02A63">
                  <w:pPr>
                    <w:spacing w:after="0"/>
                    <w:jc w:val="center"/>
                    <w:rPr>
                      <w:rStyle w:val="Textoennegrita"/>
                    </w:rPr>
                  </w:pPr>
                  <w:r w:rsidRPr="00E73D5C">
                    <w:rPr>
                      <w:rStyle w:val="Textoennegrita"/>
                    </w:rPr>
                    <w:t>Concepto</w:t>
                  </w:r>
                </w:p>
              </w:tc>
              <w:tc>
                <w:tcPr>
                  <w:tcW w:w="2352" w:type="dxa"/>
                  <w:tcBorders>
                    <w:top w:val="single" w:sz="6" w:space="0" w:color="auto"/>
                    <w:left w:val="single" w:sz="6" w:space="0" w:color="auto"/>
                    <w:bottom w:val="single" w:sz="6" w:space="0" w:color="auto"/>
                    <w:right w:val="single" w:sz="6" w:space="0" w:color="auto"/>
                  </w:tcBorders>
                  <w:vAlign w:val="center"/>
                </w:tcPr>
                <w:p w14:paraId="40A6A92E" w14:textId="77777777" w:rsidR="00893E78" w:rsidRPr="00E73D5C" w:rsidRDefault="00D04891" w:rsidP="00A02A63">
                  <w:pPr>
                    <w:spacing w:after="0"/>
                    <w:jc w:val="center"/>
                    <w:rPr>
                      <w:rStyle w:val="Textoennegrita"/>
                    </w:rPr>
                  </w:pPr>
                  <w:r w:rsidRPr="00E73D5C">
                    <w:rPr>
                      <w:rStyle w:val="Textoennegrita"/>
                    </w:rPr>
                    <w:t>2023</w:t>
                  </w:r>
                </w:p>
              </w:tc>
              <w:tc>
                <w:tcPr>
                  <w:tcW w:w="2218" w:type="dxa"/>
                  <w:tcBorders>
                    <w:top w:val="single" w:sz="6" w:space="0" w:color="auto"/>
                    <w:left w:val="single" w:sz="6" w:space="0" w:color="auto"/>
                    <w:bottom w:val="single" w:sz="6" w:space="0" w:color="auto"/>
                    <w:right w:val="single" w:sz="6" w:space="0" w:color="auto"/>
                  </w:tcBorders>
                  <w:vAlign w:val="center"/>
                </w:tcPr>
                <w:p w14:paraId="54B50F52" w14:textId="77777777" w:rsidR="00893E78" w:rsidRPr="00E73D5C" w:rsidRDefault="00D04891" w:rsidP="00A02A63">
                  <w:pPr>
                    <w:spacing w:after="0"/>
                    <w:jc w:val="center"/>
                    <w:rPr>
                      <w:rStyle w:val="Textoennegrita"/>
                    </w:rPr>
                  </w:pPr>
                  <w:r w:rsidRPr="00E73D5C">
                    <w:rPr>
                      <w:rStyle w:val="Textoennegrita"/>
                    </w:rPr>
                    <w:t>2022</w:t>
                  </w:r>
                </w:p>
              </w:tc>
            </w:tr>
            <w:tr w:rsidR="006C59FB" w:rsidRPr="004148C0" w14:paraId="6A24D9E0" w14:textId="77777777" w:rsidTr="00A02A63">
              <w:trPr>
                <w:trHeight w:val="92"/>
              </w:trPr>
              <w:tc>
                <w:tcPr>
                  <w:tcW w:w="4069" w:type="dxa"/>
                  <w:tcBorders>
                    <w:top w:val="single" w:sz="6" w:space="0" w:color="auto"/>
                    <w:left w:val="single" w:sz="6" w:space="0" w:color="auto"/>
                    <w:bottom w:val="single" w:sz="6" w:space="0" w:color="auto"/>
                    <w:right w:val="single" w:sz="6" w:space="0" w:color="auto"/>
                  </w:tcBorders>
                  <w:vAlign w:val="center"/>
                </w:tcPr>
                <w:p w14:paraId="0C3BE11B" w14:textId="77777777" w:rsidR="006C59FB" w:rsidRPr="00E73D5C" w:rsidRDefault="006C59FB" w:rsidP="00A02A63">
                  <w:pPr>
                    <w:spacing w:after="0"/>
                    <w:jc w:val="both"/>
                    <w:rPr>
                      <w:lang w:eastAsia="es-MX"/>
                    </w:rPr>
                  </w:pPr>
                  <w:r w:rsidRPr="00E73D5C">
                    <w:rPr>
                      <w:lang w:eastAsia="es-MX"/>
                    </w:rPr>
                    <w:t>Ingresos de la Gestión</w:t>
                  </w:r>
                </w:p>
              </w:tc>
              <w:tc>
                <w:tcPr>
                  <w:tcW w:w="2352" w:type="dxa"/>
                  <w:tcBorders>
                    <w:top w:val="single" w:sz="6" w:space="0" w:color="auto"/>
                    <w:left w:val="single" w:sz="6" w:space="0" w:color="auto"/>
                    <w:bottom w:val="single" w:sz="6" w:space="0" w:color="auto"/>
                    <w:right w:val="single" w:sz="6" w:space="0" w:color="auto"/>
                  </w:tcBorders>
                  <w:vAlign w:val="center"/>
                </w:tcPr>
                <w:p w14:paraId="70377E9B" w14:textId="0D6A4FD6" w:rsidR="006C59FB" w:rsidRPr="00E73D5C" w:rsidRDefault="006C59FB" w:rsidP="00A02A63">
                  <w:pPr>
                    <w:spacing w:after="0"/>
                    <w:jc w:val="both"/>
                    <w:rPr>
                      <w:bCs/>
                      <w:color w:val="000000"/>
                    </w:rPr>
                  </w:pPr>
                  <w:r w:rsidRPr="00E73D5C">
                    <w:rPr>
                      <w:bCs/>
                      <w:color w:val="000000"/>
                    </w:rPr>
                    <w:t>$</w:t>
                  </w:r>
                  <w:r w:rsidR="00E73D5C" w:rsidRPr="00E73D5C">
                    <w:rPr>
                      <w:bCs/>
                      <w:color w:val="000000"/>
                    </w:rPr>
                    <w:t>3,188,822,065.80</w:t>
                  </w:r>
                </w:p>
              </w:tc>
              <w:tc>
                <w:tcPr>
                  <w:tcW w:w="2218" w:type="dxa"/>
                  <w:tcBorders>
                    <w:top w:val="single" w:sz="6" w:space="0" w:color="auto"/>
                    <w:left w:val="single" w:sz="6" w:space="0" w:color="auto"/>
                    <w:bottom w:val="single" w:sz="6" w:space="0" w:color="auto"/>
                    <w:right w:val="single" w:sz="6" w:space="0" w:color="auto"/>
                  </w:tcBorders>
                  <w:vAlign w:val="center"/>
                </w:tcPr>
                <w:p w14:paraId="1C00EA2F" w14:textId="77777777" w:rsidR="006C59FB" w:rsidRPr="00E73D5C" w:rsidRDefault="006C59FB" w:rsidP="00A02A63">
                  <w:pPr>
                    <w:spacing w:after="0"/>
                    <w:jc w:val="both"/>
                    <w:rPr>
                      <w:bCs/>
                      <w:color w:val="000000"/>
                    </w:rPr>
                  </w:pPr>
                  <w:r w:rsidRPr="00E73D5C">
                    <w:rPr>
                      <w:bCs/>
                      <w:color w:val="000000"/>
                    </w:rPr>
                    <w:t>$4,542,856,645.31</w:t>
                  </w:r>
                </w:p>
              </w:tc>
            </w:tr>
            <w:tr w:rsidR="00893E78" w:rsidRPr="004148C0" w14:paraId="624A9788" w14:textId="77777777" w:rsidTr="00A02A63">
              <w:trPr>
                <w:trHeight w:val="762"/>
              </w:trPr>
              <w:tc>
                <w:tcPr>
                  <w:tcW w:w="4069" w:type="dxa"/>
                  <w:tcBorders>
                    <w:top w:val="single" w:sz="6" w:space="0" w:color="auto"/>
                    <w:left w:val="single" w:sz="6" w:space="0" w:color="auto"/>
                    <w:bottom w:val="single" w:sz="6" w:space="0" w:color="auto"/>
                    <w:right w:val="single" w:sz="6" w:space="0" w:color="auto"/>
                  </w:tcBorders>
                  <w:vAlign w:val="center"/>
                </w:tcPr>
                <w:p w14:paraId="22C7472F" w14:textId="77777777" w:rsidR="00893E78" w:rsidRPr="00E73D5C" w:rsidRDefault="00893E78" w:rsidP="00A02A63">
                  <w:pPr>
                    <w:spacing w:after="0"/>
                    <w:jc w:val="both"/>
                    <w:rPr>
                      <w:lang w:eastAsia="es-MX"/>
                    </w:rPr>
                  </w:pPr>
                  <w:r w:rsidRPr="00E73D5C">
                    <w:rPr>
                      <w:lang w:eastAsia="es-MX"/>
                    </w:rPr>
                    <w:t>Participaciones, Aportaciones, Convenios, Incentivos Derivados de la Colaboración Fiscal, Fondos Distintos de Aportaciones, Transferencias, Asignaciones, Subsidios y Subvenciones, y Pensiones y Jubilaciones.</w:t>
                  </w:r>
                </w:p>
              </w:tc>
              <w:tc>
                <w:tcPr>
                  <w:tcW w:w="2352" w:type="dxa"/>
                  <w:tcBorders>
                    <w:top w:val="single" w:sz="6" w:space="0" w:color="auto"/>
                    <w:left w:val="single" w:sz="6" w:space="0" w:color="auto"/>
                    <w:bottom w:val="single" w:sz="6" w:space="0" w:color="auto"/>
                    <w:right w:val="single" w:sz="6" w:space="0" w:color="auto"/>
                  </w:tcBorders>
                  <w:vAlign w:val="center"/>
                </w:tcPr>
                <w:p w14:paraId="5202A3A0" w14:textId="45BBA1C5" w:rsidR="00893E78" w:rsidRPr="00E73D5C" w:rsidRDefault="008739D9" w:rsidP="00A02A63">
                  <w:pPr>
                    <w:spacing w:after="0"/>
                    <w:jc w:val="both"/>
                  </w:pPr>
                  <w:r w:rsidRPr="00E73D5C">
                    <w:t>$</w:t>
                  </w:r>
                  <w:r w:rsidR="00E73D5C" w:rsidRPr="00E73D5C">
                    <w:t>2,943,737,128.98</w:t>
                  </w:r>
                </w:p>
              </w:tc>
              <w:tc>
                <w:tcPr>
                  <w:tcW w:w="2218" w:type="dxa"/>
                  <w:tcBorders>
                    <w:top w:val="single" w:sz="6" w:space="0" w:color="auto"/>
                    <w:left w:val="single" w:sz="6" w:space="0" w:color="auto"/>
                    <w:bottom w:val="single" w:sz="6" w:space="0" w:color="auto"/>
                    <w:right w:val="single" w:sz="6" w:space="0" w:color="auto"/>
                  </w:tcBorders>
                  <w:vAlign w:val="center"/>
                </w:tcPr>
                <w:p w14:paraId="4A4C0AE4" w14:textId="77777777" w:rsidR="00893E78" w:rsidRPr="00E73D5C" w:rsidRDefault="00893E78" w:rsidP="00A02A63">
                  <w:pPr>
                    <w:spacing w:after="0"/>
                    <w:jc w:val="both"/>
                  </w:pPr>
                  <w:r w:rsidRPr="00E73D5C">
                    <w:t>$</w:t>
                  </w:r>
                  <w:r w:rsidR="00D04891" w:rsidRPr="00E73D5C">
                    <w:t>5,039,625,335.29</w:t>
                  </w:r>
                </w:p>
              </w:tc>
            </w:tr>
            <w:tr w:rsidR="00893E78" w:rsidRPr="004148C0" w14:paraId="604B3CC4" w14:textId="77777777" w:rsidTr="00A02A63">
              <w:trPr>
                <w:trHeight w:val="51"/>
              </w:trPr>
              <w:tc>
                <w:tcPr>
                  <w:tcW w:w="4069" w:type="dxa"/>
                  <w:tcBorders>
                    <w:top w:val="single" w:sz="6" w:space="0" w:color="auto"/>
                    <w:left w:val="single" w:sz="6" w:space="0" w:color="auto"/>
                    <w:bottom w:val="single" w:sz="6" w:space="0" w:color="auto"/>
                    <w:right w:val="single" w:sz="6" w:space="0" w:color="auto"/>
                  </w:tcBorders>
                  <w:vAlign w:val="center"/>
                </w:tcPr>
                <w:p w14:paraId="62A419EA" w14:textId="77777777" w:rsidR="00893E78" w:rsidRPr="00E73D5C" w:rsidRDefault="00893E78" w:rsidP="00A02A63">
                  <w:pPr>
                    <w:spacing w:after="0"/>
                    <w:jc w:val="both"/>
                    <w:rPr>
                      <w:lang w:eastAsia="es-MX"/>
                    </w:rPr>
                  </w:pPr>
                  <w:r w:rsidRPr="00E73D5C">
                    <w:rPr>
                      <w:lang w:eastAsia="es-MX"/>
                    </w:rPr>
                    <w:t>Otros Ingresos y Beneficios</w:t>
                  </w:r>
                </w:p>
              </w:tc>
              <w:tc>
                <w:tcPr>
                  <w:tcW w:w="2352" w:type="dxa"/>
                  <w:tcBorders>
                    <w:top w:val="single" w:sz="6" w:space="0" w:color="auto"/>
                    <w:left w:val="single" w:sz="6" w:space="0" w:color="auto"/>
                    <w:bottom w:val="single" w:sz="6" w:space="0" w:color="auto"/>
                    <w:right w:val="single" w:sz="6" w:space="0" w:color="auto"/>
                  </w:tcBorders>
                  <w:vAlign w:val="center"/>
                </w:tcPr>
                <w:p w14:paraId="4C831A39" w14:textId="62EF68E2" w:rsidR="00893E78" w:rsidRPr="00E73D5C" w:rsidRDefault="00E73D5C" w:rsidP="00A02A63">
                  <w:pPr>
                    <w:spacing w:after="0"/>
                    <w:jc w:val="both"/>
                  </w:pPr>
                  <w:r w:rsidRPr="00E73D5C">
                    <w:t>$648,775,747.94</w:t>
                  </w:r>
                </w:p>
              </w:tc>
              <w:tc>
                <w:tcPr>
                  <w:tcW w:w="2218" w:type="dxa"/>
                  <w:tcBorders>
                    <w:top w:val="single" w:sz="6" w:space="0" w:color="auto"/>
                    <w:left w:val="single" w:sz="6" w:space="0" w:color="auto"/>
                    <w:bottom w:val="single" w:sz="6" w:space="0" w:color="auto"/>
                    <w:right w:val="single" w:sz="6" w:space="0" w:color="auto"/>
                  </w:tcBorders>
                  <w:vAlign w:val="center"/>
                </w:tcPr>
                <w:p w14:paraId="5C91CBFB" w14:textId="77777777" w:rsidR="00893E78" w:rsidRPr="00E73D5C" w:rsidRDefault="006C59FB" w:rsidP="00A02A63">
                  <w:pPr>
                    <w:spacing w:after="0"/>
                    <w:jc w:val="both"/>
                  </w:pPr>
                  <w:r w:rsidRPr="00E73D5C">
                    <w:t>$1,125,991,444.54</w:t>
                  </w:r>
                </w:p>
              </w:tc>
            </w:tr>
            <w:tr w:rsidR="006C59FB" w:rsidRPr="00A03A43" w14:paraId="28C38ACF" w14:textId="77777777" w:rsidTr="00A02A63">
              <w:trPr>
                <w:trHeight w:val="51"/>
              </w:trPr>
              <w:tc>
                <w:tcPr>
                  <w:tcW w:w="4069" w:type="dxa"/>
                  <w:tcBorders>
                    <w:top w:val="single" w:sz="6" w:space="0" w:color="auto"/>
                    <w:left w:val="single" w:sz="6" w:space="0" w:color="auto"/>
                    <w:bottom w:val="single" w:sz="6" w:space="0" w:color="auto"/>
                    <w:right w:val="single" w:sz="6" w:space="0" w:color="auto"/>
                  </w:tcBorders>
                  <w:vAlign w:val="center"/>
                </w:tcPr>
                <w:p w14:paraId="41670A36" w14:textId="77777777" w:rsidR="006C59FB" w:rsidRPr="00E73D5C" w:rsidRDefault="006C59FB" w:rsidP="00A02A63">
                  <w:pPr>
                    <w:spacing w:after="0"/>
                    <w:jc w:val="center"/>
                    <w:rPr>
                      <w:b/>
                      <w:bCs/>
                      <w:i/>
                      <w:iCs/>
                      <w:lang w:eastAsia="es-MX"/>
                    </w:rPr>
                  </w:pPr>
                  <w:proofErr w:type="gramStart"/>
                  <w:r w:rsidRPr="00E73D5C">
                    <w:rPr>
                      <w:b/>
                      <w:bCs/>
                      <w:i/>
                      <w:iCs/>
                      <w:lang w:eastAsia="es-MX"/>
                    </w:rPr>
                    <w:t>Total</w:t>
                  </w:r>
                  <w:proofErr w:type="gramEnd"/>
                  <w:r w:rsidRPr="00E73D5C">
                    <w:rPr>
                      <w:b/>
                      <w:bCs/>
                      <w:i/>
                      <w:iCs/>
                      <w:lang w:eastAsia="es-MX"/>
                    </w:rPr>
                    <w:t xml:space="preserve"> de Ingresos y Otros Beneficios</w:t>
                  </w:r>
                </w:p>
              </w:tc>
              <w:tc>
                <w:tcPr>
                  <w:tcW w:w="2352" w:type="dxa"/>
                  <w:tcBorders>
                    <w:top w:val="single" w:sz="6" w:space="0" w:color="auto"/>
                    <w:left w:val="single" w:sz="6" w:space="0" w:color="auto"/>
                    <w:bottom w:val="single" w:sz="6" w:space="0" w:color="auto"/>
                    <w:right w:val="single" w:sz="6" w:space="0" w:color="auto"/>
                  </w:tcBorders>
                  <w:vAlign w:val="center"/>
                </w:tcPr>
                <w:p w14:paraId="28FF9FBF" w14:textId="48438FC6" w:rsidR="006C59FB" w:rsidRPr="00E73D5C" w:rsidRDefault="006C59FB" w:rsidP="00E73D5C">
                  <w:pPr>
                    <w:spacing w:after="0"/>
                    <w:rPr>
                      <w:b/>
                    </w:rPr>
                  </w:pPr>
                  <w:r w:rsidRPr="00E73D5C">
                    <w:rPr>
                      <w:b/>
                    </w:rPr>
                    <w:t>$</w:t>
                  </w:r>
                  <w:r w:rsidR="00E73D5C" w:rsidRPr="00E73D5C">
                    <w:rPr>
                      <w:b/>
                    </w:rPr>
                    <w:t xml:space="preserve"> 6,781,334,942.42</w:t>
                  </w:r>
                </w:p>
              </w:tc>
              <w:tc>
                <w:tcPr>
                  <w:tcW w:w="2218" w:type="dxa"/>
                  <w:tcBorders>
                    <w:top w:val="single" w:sz="6" w:space="0" w:color="auto"/>
                    <w:left w:val="single" w:sz="6" w:space="0" w:color="auto"/>
                    <w:bottom w:val="single" w:sz="6" w:space="0" w:color="auto"/>
                    <w:right w:val="single" w:sz="6" w:space="0" w:color="auto"/>
                  </w:tcBorders>
                  <w:vAlign w:val="center"/>
                </w:tcPr>
                <w:p w14:paraId="71A02BF7" w14:textId="77777777" w:rsidR="006C59FB" w:rsidRPr="00E73D5C" w:rsidRDefault="006C59FB" w:rsidP="00E73D5C">
                  <w:pPr>
                    <w:spacing w:after="0"/>
                    <w:rPr>
                      <w:b/>
                    </w:rPr>
                  </w:pPr>
                  <w:r w:rsidRPr="00E73D5C">
                    <w:rPr>
                      <w:b/>
                    </w:rPr>
                    <w:t>$10,708,473,425.14</w:t>
                  </w:r>
                </w:p>
              </w:tc>
            </w:tr>
          </w:tbl>
          <w:p w14:paraId="70B0E636" w14:textId="77777777" w:rsidR="0067543A" w:rsidRPr="006C59FB" w:rsidRDefault="0067543A" w:rsidP="00A03A43">
            <w:pPr>
              <w:jc w:val="both"/>
              <w:rPr>
                <w:bCs/>
                <w:lang w:eastAsia="es-MX"/>
              </w:rPr>
            </w:pPr>
          </w:p>
          <w:p w14:paraId="4D7C9C9A" w14:textId="77777777" w:rsidR="00A02A63" w:rsidRDefault="00A02A63" w:rsidP="00A02A63">
            <w:pPr>
              <w:spacing w:after="0"/>
              <w:jc w:val="both"/>
              <w:rPr>
                <w:bCs/>
                <w:lang w:eastAsia="es-MX"/>
              </w:rPr>
            </w:pPr>
          </w:p>
          <w:p w14:paraId="4090AADE" w14:textId="77777777" w:rsidR="00A02A63" w:rsidRDefault="00A02A63" w:rsidP="00A02A63">
            <w:pPr>
              <w:spacing w:after="0"/>
              <w:jc w:val="both"/>
              <w:rPr>
                <w:bCs/>
                <w:lang w:eastAsia="es-MX"/>
              </w:rPr>
            </w:pPr>
          </w:p>
          <w:p w14:paraId="08F7E835" w14:textId="77777777" w:rsidR="00A02A63" w:rsidRDefault="00A02A63" w:rsidP="00A02A63">
            <w:pPr>
              <w:spacing w:after="0"/>
              <w:jc w:val="both"/>
              <w:rPr>
                <w:bCs/>
                <w:lang w:eastAsia="es-MX"/>
              </w:rPr>
            </w:pPr>
          </w:p>
          <w:p w14:paraId="2993FFC3" w14:textId="77777777" w:rsidR="00A02A63" w:rsidRDefault="00A02A63" w:rsidP="00A02A63">
            <w:pPr>
              <w:spacing w:after="0"/>
              <w:jc w:val="both"/>
              <w:rPr>
                <w:bCs/>
                <w:lang w:eastAsia="es-MX"/>
              </w:rPr>
            </w:pPr>
          </w:p>
          <w:p w14:paraId="2DC7B2C2" w14:textId="77777777" w:rsidR="00A02A63" w:rsidRDefault="00A02A63" w:rsidP="00A02A63">
            <w:pPr>
              <w:spacing w:after="0"/>
              <w:jc w:val="both"/>
              <w:rPr>
                <w:bCs/>
                <w:lang w:eastAsia="es-MX"/>
              </w:rPr>
            </w:pPr>
          </w:p>
          <w:p w14:paraId="61218AED" w14:textId="77777777" w:rsidR="00A02A63" w:rsidRPr="006C59FB" w:rsidRDefault="00A02A63" w:rsidP="00A02A63">
            <w:pPr>
              <w:spacing w:after="0"/>
              <w:jc w:val="both"/>
              <w:rPr>
                <w:bCs/>
                <w:lang w:eastAsia="es-MX"/>
              </w:rPr>
            </w:pPr>
          </w:p>
          <w:p w14:paraId="5EDB86C1" w14:textId="77777777" w:rsidR="00E81301" w:rsidRPr="00A03A43" w:rsidRDefault="00453A75" w:rsidP="00A02A63">
            <w:pPr>
              <w:pStyle w:val="Prrafodelista"/>
              <w:numPr>
                <w:ilvl w:val="0"/>
                <w:numId w:val="26"/>
              </w:numPr>
              <w:spacing w:after="0"/>
              <w:jc w:val="both"/>
              <w:rPr>
                <w:rStyle w:val="nfasissutil"/>
              </w:rPr>
            </w:pPr>
            <w:r w:rsidRPr="00A03A43">
              <w:rPr>
                <w:rStyle w:val="nfasissutil"/>
              </w:rPr>
              <w:lastRenderedPageBreak/>
              <w:t>Información</w:t>
            </w:r>
            <w:r w:rsidR="00E81301" w:rsidRPr="00A03A43">
              <w:rPr>
                <w:rStyle w:val="nfasissutil"/>
              </w:rPr>
              <w:t xml:space="preserve"> Sobre la Deuda y el Reporte Analítico de la Deuda:</w:t>
            </w:r>
          </w:p>
          <w:p w14:paraId="26CD8018" w14:textId="77777777" w:rsidR="00F6461C" w:rsidRPr="006C59FB" w:rsidRDefault="00E81301" w:rsidP="00A02A63">
            <w:pPr>
              <w:spacing w:line="360" w:lineRule="auto"/>
              <w:jc w:val="both"/>
              <w:rPr>
                <w:lang w:eastAsia="es-MX"/>
              </w:rPr>
            </w:pPr>
            <w:r w:rsidRPr="006C59FB">
              <w:rPr>
                <w:lang w:eastAsia="es-MX"/>
              </w:rPr>
              <w:t>Las obligaciones financieras directas contratadas en periodos anteriores a cargo del Municipio de Zapopan, Jal., están garantizadas co</w:t>
            </w:r>
            <w:r w:rsidR="003E7687" w:rsidRPr="006C59FB">
              <w:rPr>
                <w:lang w:eastAsia="es-MX"/>
              </w:rPr>
              <w:t>n las participaciones federales a partir del mes de mayo 2014 siendo la siguientes:</w:t>
            </w:r>
          </w:p>
          <w:p w14:paraId="34B7D45D" w14:textId="77777777" w:rsidR="002A199D" w:rsidRPr="006C59FB" w:rsidRDefault="002A199D" w:rsidP="00A02A63">
            <w:pPr>
              <w:spacing w:after="0"/>
              <w:jc w:val="both"/>
              <w:rPr>
                <w:lang w:eastAsia="es-MX"/>
              </w:rPr>
            </w:pPr>
          </w:p>
          <w:tbl>
            <w:tblPr>
              <w:tblW w:w="8838" w:type="dxa"/>
              <w:jc w:val="center"/>
              <w:tblLayout w:type="fixed"/>
              <w:tblCellMar>
                <w:left w:w="70" w:type="dxa"/>
                <w:right w:w="70" w:type="dxa"/>
              </w:tblCellMar>
              <w:tblLook w:val="0000" w:firstRow="0" w:lastRow="0" w:firstColumn="0" w:lastColumn="0" w:noHBand="0" w:noVBand="0"/>
            </w:tblPr>
            <w:tblGrid>
              <w:gridCol w:w="2429"/>
              <w:gridCol w:w="6409"/>
            </w:tblGrid>
            <w:tr w:rsidR="00DE3F3C" w:rsidRPr="00A51536" w14:paraId="332DE037" w14:textId="77777777" w:rsidTr="00A51536">
              <w:trPr>
                <w:trHeight w:val="287"/>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5ABDBE" w14:textId="77777777" w:rsidR="00DE3F3C" w:rsidRPr="00A51536" w:rsidRDefault="00DE3F3C" w:rsidP="00A02A63">
                  <w:pPr>
                    <w:spacing w:after="0"/>
                    <w:jc w:val="center"/>
                    <w:rPr>
                      <w:b/>
                      <w:bCs/>
                      <w:color w:val="000000"/>
                      <w:lang w:eastAsia="es-MX"/>
                    </w:rPr>
                  </w:pPr>
                  <w:r w:rsidRPr="00A51536">
                    <w:rPr>
                      <w:b/>
                      <w:bCs/>
                      <w:color w:val="000000"/>
                      <w:lang w:eastAsia="es-MX"/>
                    </w:rPr>
                    <w:t>Crédito con BANORTE 2014.</w:t>
                  </w:r>
                </w:p>
              </w:tc>
            </w:tr>
            <w:tr w:rsidR="00DE3F3C" w:rsidRPr="00A51536" w14:paraId="74FF3418" w14:textId="77777777" w:rsidTr="00A51536">
              <w:trPr>
                <w:trHeight w:val="51"/>
                <w:jc w:val="center"/>
              </w:trPr>
              <w:tc>
                <w:tcPr>
                  <w:tcW w:w="1374" w:type="pct"/>
                  <w:tcBorders>
                    <w:top w:val="nil"/>
                    <w:left w:val="single" w:sz="6" w:space="0" w:color="auto"/>
                    <w:bottom w:val="single" w:sz="6" w:space="0" w:color="auto"/>
                    <w:right w:val="single" w:sz="6" w:space="0" w:color="auto"/>
                  </w:tcBorders>
                  <w:shd w:val="clear" w:color="auto" w:fill="auto"/>
                  <w:vAlign w:val="center"/>
                </w:tcPr>
                <w:p w14:paraId="01FF6EAF" w14:textId="77777777" w:rsidR="00DE3F3C" w:rsidRPr="00A51536" w:rsidRDefault="00DE3F3C" w:rsidP="00A02A63">
                  <w:pPr>
                    <w:spacing w:after="0"/>
                    <w:jc w:val="both"/>
                    <w:rPr>
                      <w:color w:val="000000"/>
                      <w:lang w:eastAsia="es-MX"/>
                    </w:rPr>
                  </w:pPr>
                  <w:r w:rsidRPr="00A51536">
                    <w:rPr>
                      <w:color w:val="000000"/>
                      <w:lang w:eastAsia="es-MX"/>
                    </w:rPr>
                    <w:t>Responsable de la Autorización</w:t>
                  </w:r>
                </w:p>
              </w:tc>
              <w:tc>
                <w:tcPr>
                  <w:tcW w:w="3626" w:type="pct"/>
                  <w:tcBorders>
                    <w:top w:val="nil"/>
                    <w:left w:val="nil"/>
                    <w:bottom w:val="single" w:sz="6" w:space="0" w:color="auto"/>
                    <w:right w:val="single" w:sz="6" w:space="0" w:color="auto"/>
                  </w:tcBorders>
                  <w:shd w:val="clear" w:color="auto" w:fill="auto"/>
                  <w:vAlign w:val="center"/>
                </w:tcPr>
                <w:p w14:paraId="3F45D4BD" w14:textId="77777777" w:rsidR="00DE3F3C" w:rsidRPr="00A51536" w:rsidRDefault="00DE3F3C" w:rsidP="00A02A63">
                  <w:pPr>
                    <w:spacing w:after="0"/>
                    <w:jc w:val="both"/>
                    <w:rPr>
                      <w:color w:val="000000"/>
                      <w:lang w:eastAsia="es-MX"/>
                    </w:rPr>
                  </w:pPr>
                  <w:r w:rsidRPr="00A51536">
                    <w:rPr>
                      <w:color w:val="000000"/>
                      <w:lang w:eastAsia="es-MX"/>
                    </w:rPr>
                    <w:t>H. Ayuntamiento de Zapopan, Administración 2012-2015.</w:t>
                  </w:r>
                </w:p>
              </w:tc>
            </w:tr>
            <w:tr w:rsidR="00DE3F3C" w:rsidRPr="00A51536" w14:paraId="53501436" w14:textId="77777777" w:rsidTr="00A51536">
              <w:trPr>
                <w:trHeight w:val="51"/>
                <w:jc w:val="center"/>
              </w:trPr>
              <w:tc>
                <w:tcPr>
                  <w:tcW w:w="1374" w:type="pct"/>
                  <w:tcBorders>
                    <w:top w:val="nil"/>
                    <w:left w:val="single" w:sz="6" w:space="0" w:color="auto"/>
                    <w:bottom w:val="single" w:sz="6" w:space="0" w:color="auto"/>
                    <w:right w:val="single" w:sz="6" w:space="0" w:color="auto"/>
                  </w:tcBorders>
                  <w:shd w:val="clear" w:color="auto" w:fill="auto"/>
                  <w:vAlign w:val="center"/>
                </w:tcPr>
                <w:p w14:paraId="7D7E80F7" w14:textId="77777777" w:rsidR="00DE3F3C" w:rsidRPr="00A51536" w:rsidRDefault="00DE3F3C" w:rsidP="00A02A63">
                  <w:pPr>
                    <w:spacing w:after="0"/>
                    <w:jc w:val="both"/>
                    <w:rPr>
                      <w:color w:val="000000"/>
                      <w:lang w:eastAsia="es-MX"/>
                    </w:rPr>
                  </w:pPr>
                  <w:r w:rsidRPr="00A51536">
                    <w:rPr>
                      <w:color w:val="000000"/>
                      <w:lang w:eastAsia="es-MX"/>
                    </w:rPr>
                    <w:t>Fecha de contratación</w:t>
                  </w:r>
                </w:p>
              </w:tc>
              <w:tc>
                <w:tcPr>
                  <w:tcW w:w="3626" w:type="pct"/>
                  <w:tcBorders>
                    <w:top w:val="nil"/>
                    <w:left w:val="nil"/>
                    <w:bottom w:val="single" w:sz="6" w:space="0" w:color="auto"/>
                    <w:right w:val="single" w:sz="6" w:space="0" w:color="auto"/>
                  </w:tcBorders>
                  <w:shd w:val="clear" w:color="auto" w:fill="auto"/>
                  <w:vAlign w:val="center"/>
                </w:tcPr>
                <w:p w14:paraId="7926747F" w14:textId="77777777" w:rsidR="00DE3F3C" w:rsidRPr="00A51536" w:rsidRDefault="00DE3F3C" w:rsidP="00A02A63">
                  <w:pPr>
                    <w:spacing w:after="0"/>
                    <w:jc w:val="both"/>
                    <w:rPr>
                      <w:color w:val="000000"/>
                      <w:lang w:eastAsia="es-MX"/>
                    </w:rPr>
                  </w:pPr>
                  <w:r w:rsidRPr="00A51536">
                    <w:rPr>
                      <w:color w:val="000000"/>
                      <w:lang w:eastAsia="es-MX"/>
                    </w:rPr>
                    <w:t xml:space="preserve">14 de </w:t>
                  </w:r>
                  <w:r w:rsidR="00453A75" w:rsidRPr="00A51536">
                    <w:rPr>
                      <w:color w:val="000000"/>
                      <w:lang w:eastAsia="es-MX"/>
                    </w:rPr>
                    <w:t>m</w:t>
                  </w:r>
                  <w:r w:rsidRPr="00A51536">
                    <w:rPr>
                      <w:color w:val="000000"/>
                      <w:lang w:eastAsia="es-MX"/>
                    </w:rPr>
                    <w:t>arzo de 2014.</w:t>
                  </w:r>
                </w:p>
              </w:tc>
            </w:tr>
            <w:tr w:rsidR="00DE3F3C" w:rsidRPr="00A51536" w14:paraId="016099E7" w14:textId="77777777" w:rsidTr="00A51536">
              <w:trPr>
                <w:trHeight w:val="51"/>
                <w:jc w:val="center"/>
              </w:trPr>
              <w:tc>
                <w:tcPr>
                  <w:tcW w:w="1374" w:type="pct"/>
                  <w:tcBorders>
                    <w:top w:val="nil"/>
                    <w:left w:val="single" w:sz="6" w:space="0" w:color="auto"/>
                    <w:bottom w:val="single" w:sz="6" w:space="0" w:color="auto"/>
                    <w:right w:val="single" w:sz="6" w:space="0" w:color="auto"/>
                  </w:tcBorders>
                  <w:shd w:val="clear" w:color="auto" w:fill="auto"/>
                  <w:vAlign w:val="center"/>
                </w:tcPr>
                <w:p w14:paraId="422440FF" w14:textId="77777777" w:rsidR="00DE3F3C" w:rsidRPr="00A51536" w:rsidRDefault="00DE3F3C" w:rsidP="00A02A63">
                  <w:pPr>
                    <w:spacing w:after="0"/>
                    <w:jc w:val="both"/>
                    <w:rPr>
                      <w:color w:val="000000"/>
                      <w:lang w:eastAsia="es-MX"/>
                    </w:rPr>
                  </w:pPr>
                  <w:r w:rsidRPr="00A51536">
                    <w:rPr>
                      <w:color w:val="000000"/>
                      <w:lang w:eastAsia="es-MX"/>
                    </w:rPr>
                    <w:t>Monto del crédito</w:t>
                  </w:r>
                </w:p>
              </w:tc>
              <w:tc>
                <w:tcPr>
                  <w:tcW w:w="3626" w:type="pct"/>
                  <w:tcBorders>
                    <w:top w:val="nil"/>
                    <w:left w:val="nil"/>
                    <w:bottom w:val="single" w:sz="6" w:space="0" w:color="auto"/>
                    <w:right w:val="single" w:sz="6" w:space="0" w:color="auto"/>
                  </w:tcBorders>
                  <w:shd w:val="clear" w:color="auto" w:fill="auto"/>
                  <w:vAlign w:val="center"/>
                </w:tcPr>
                <w:p w14:paraId="03DE4743" w14:textId="77777777" w:rsidR="00DE3F3C" w:rsidRPr="00A51536" w:rsidRDefault="00DE3F3C" w:rsidP="00A02A63">
                  <w:pPr>
                    <w:spacing w:after="0"/>
                    <w:jc w:val="both"/>
                    <w:rPr>
                      <w:color w:val="000000"/>
                      <w:lang w:eastAsia="es-MX"/>
                    </w:rPr>
                  </w:pPr>
                  <w:r w:rsidRPr="00A51536">
                    <w:rPr>
                      <w:color w:val="000000"/>
                      <w:lang w:eastAsia="es-MX"/>
                    </w:rPr>
                    <w:t xml:space="preserve">$1,119’642,857.14 (Un mil, ciento diez y nueve millones, seiscientos cuarenta y dos mil, ochocientos cincuenta y siete pesos 14/100 M. N.) </w:t>
                  </w:r>
                </w:p>
              </w:tc>
            </w:tr>
            <w:tr w:rsidR="00DE3F3C" w:rsidRPr="00A51536" w14:paraId="482DA987" w14:textId="77777777" w:rsidTr="00A51536">
              <w:trPr>
                <w:trHeight w:val="51"/>
                <w:jc w:val="center"/>
              </w:trPr>
              <w:tc>
                <w:tcPr>
                  <w:tcW w:w="1374" w:type="pct"/>
                  <w:tcBorders>
                    <w:top w:val="nil"/>
                    <w:left w:val="single" w:sz="6" w:space="0" w:color="auto"/>
                    <w:bottom w:val="single" w:sz="6" w:space="0" w:color="auto"/>
                    <w:right w:val="single" w:sz="6" w:space="0" w:color="auto"/>
                  </w:tcBorders>
                  <w:shd w:val="clear" w:color="auto" w:fill="auto"/>
                  <w:vAlign w:val="center"/>
                </w:tcPr>
                <w:p w14:paraId="71FCEE1C" w14:textId="77777777" w:rsidR="00DE3F3C" w:rsidRPr="00A51536" w:rsidRDefault="00DE3F3C" w:rsidP="00A02A63">
                  <w:pPr>
                    <w:spacing w:after="0"/>
                    <w:jc w:val="both"/>
                    <w:rPr>
                      <w:color w:val="000000"/>
                      <w:lang w:eastAsia="es-MX"/>
                    </w:rPr>
                  </w:pPr>
                  <w:r w:rsidRPr="00A51536">
                    <w:rPr>
                      <w:color w:val="000000"/>
                      <w:lang w:eastAsia="es-MX"/>
                    </w:rPr>
                    <w:t>Tasa de interés</w:t>
                  </w:r>
                </w:p>
              </w:tc>
              <w:tc>
                <w:tcPr>
                  <w:tcW w:w="3626" w:type="pct"/>
                  <w:tcBorders>
                    <w:top w:val="nil"/>
                    <w:left w:val="nil"/>
                    <w:bottom w:val="single" w:sz="6" w:space="0" w:color="auto"/>
                    <w:right w:val="single" w:sz="6" w:space="0" w:color="auto"/>
                  </w:tcBorders>
                  <w:shd w:val="clear" w:color="auto" w:fill="auto"/>
                  <w:vAlign w:val="center"/>
                </w:tcPr>
                <w:p w14:paraId="0F47950C" w14:textId="77777777" w:rsidR="00DE3F3C" w:rsidRPr="00A51536" w:rsidRDefault="00DE3F3C" w:rsidP="00A02A63">
                  <w:pPr>
                    <w:spacing w:after="0"/>
                    <w:jc w:val="both"/>
                    <w:rPr>
                      <w:color w:val="000000"/>
                      <w:lang w:eastAsia="es-MX"/>
                    </w:rPr>
                  </w:pPr>
                  <w:r w:rsidRPr="00A51536">
                    <w:rPr>
                      <w:color w:val="000000"/>
                      <w:lang w:eastAsia="es-MX"/>
                    </w:rPr>
                    <w:t>Tasa Ordinaria: TIIE + 0.75</w:t>
                  </w:r>
                </w:p>
              </w:tc>
            </w:tr>
            <w:tr w:rsidR="00DE3F3C" w:rsidRPr="00A51536" w14:paraId="7BAEE74C" w14:textId="77777777" w:rsidTr="00A51536">
              <w:trPr>
                <w:trHeight w:val="51"/>
                <w:jc w:val="center"/>
              </w:trPr>
              <w:tc>
                <w:tcPr>
                  <w:tcW w:w="1374" w:type="pct"/>
                  <w:tcBorders>
                    <w:top w:val="nil"/>
                    <w:left w:val="single" w:sz="6" w:space="0" w:color="auto"/>
                    <w:bottom w:val="single" w:sz="6" w:space="0" w:color="auto"/>
                    <w:right w:val="single" w:sz="6" w:space="0" w:color="auto"/>
                  </w:tcBorders>
                  <w:shd w:val="clear" w:color="auto" w:fill="auto"/>
                  <w:vAlign w:val="center"/>
                </w:tcPr>
                <w:p w14:paraId="1ACD746A" w14:textId="77777777" w:rsidR="00DE3F3C" w:rsidRPr="00A51536" w:rsidRDefault="00DE3F3C" w:rsidP="00A02A63">
                  <w:pPr>
                    <w:spacing w:after="0"/>
                    <w:jc w:val="both"/>
                    <w:rPr>
                      <w:color w:val="000000"/>
                      <w:lang w:eastAsia="es-MX"/>
                    </w:rPr>
                  </w:pPr>
                  <w:r w:rsidRPr="00A51536">
                    <w:rPr>
                      <w:color w:val="000000"/>
                      <w:lang w:eastAsia="es-MX"/>
                    </w:rPr>
                    <w:t>Monto total amortizable</w:t>
                  </w:r>
                </w:p>
              </w:tc>
              <w:tc>
                <w:tcPr>
                  <w:tcW w:w="3626" w:type="pct"/>
                  <w:tcBorders>
                    <w:top w:val="nil"/>
                    <w:left w:val="nil"/>
                    <w:bottom w:val="single" w:sz="6" w:space="0" w:color="auto"/>
                    <w:right w:val="single" w:sz="6" w:space="0" w:color="auto"/>
                  </w:tcBorders>
                  <w:shd w:val="clear" w:color="auto" w:fill="auto"/>
                  <w:vAlign w:val="center"/>
                </w:tcPr>
                <w:p w14:paraId="56F7CE37" w14:textId="77777777" w:rsidR="00DE3F3C" w:rsidRPr="00A51536" w:rsidRDefault="00DE3F3C" w:rsidP="00A02A63">
                  <w:pPr>
                    <w:spacing w:after="0"/>
                    <w:jc w:val="both"/>
                    <w:rPr>
                      <w:color w:val="000000"/>
                      <w:lang w:eastAsia="es-MX"/>
                    </w:rPr>
                  </w:pPr>
                  <w:r w:rsidRPr="00A51536">
                    <w:rPr>
                      <w:color w:val="000000"/>
                      <w:lang w:eastAsia="es-MX"/>
                    </w:rPr>
                    <w:t>Pagos mensuales y consecutivos de capital.</w:t>
                  </w:r>
                </w:p>
              </w:tc>
            </w:tr>
            <w:tr w:rsidR="00DE3F3C" w:rsidRPr="00A51536" w14:paraId="278D8F02" w14:textId="77777777" w:rsidTr="00A51536">
              <w:trPr>
                <w:trHeight w:val="51"/>
                <w:jc w:val="center"/>
              </w:trPr>
              <w:tc>
                <w:tcPr>
                  <w:tcW w:w="1374" w:type="pct"/>
                  <w:tcBorders>
                    <w:top w:val="nil"/>
                    <w:left w:val="single" w:sz="6" w:space="0" w:color="auto"/>
                    <w:bottom w:val="single" w:sz="6" w:space="0" w:color="auto"/>
                    <w:right w:val="single" w:sz="6" w:space="0" w:color="auto"/>
                  </w:tcBorders>
                  <w:shd w:val="clear" w:color="auto" w:fill="auto"/>
                  <w:vAlign w:val="center"/>
                </w:tcPr>
                <w:p w14:paraId="7FEC4E35" w14:textId="77777777" w:rsidR="00DE3F3C" w:rsidRPr="00A51536" w:rsidRDefault="00DE3F3C" w:rsidP="00A02A63">
                  <w:pPr>
                    <w:spacing w:after="0"/>
                    <w:jc w:val="both"/>
                    <w:rPr>
                      <w:color w:val="000000"/>
                      <w:lang w:eastAsia="es-MX"/>
                    </w:rPr>
                  </w:pPr>
                  <w:r w:rsidRPr="00A51536">
                    <w:rPr>
                      <w:color w:val="000000"/>
                      <w:lang w:eastAsia="es-MX"/>
                    </w:rPr>
                    <w:t>Plazo de vencimiento</w:t>
                  </w:r>
                </w:p>
              </w:tc>
              <w:tc>
                <w:tcPr>
                  <w:tcW w:w="3626" w:type="pct"/>
                  <w:tcBorders>
                    <w:top w:val="nil"/>
                    <w:left w:val="nil"/>
                    <w:bottom w:val="single" w:sz="6" w:space="0" w:color="auto"/>
                    <w:right w:val="single" w:sz="6" w:space="0" w:color="auto"/>
                  </w:tcBorders>
                  <w:shd w:val="clear" w:color="auto" w:fill="auto"/>
                  <w:vAlign w:val="center"/>
                </w:tcPr>
                <w:p w14:paraId="27815458" w14:textId="77777777" w:rsidR="00DE3F3C" w:rsidRPr="00A51536" w:rsidRDefault="00DE3F3C" w:rsidP="00A02A63">
                  <w:pPr>
                    <w:spacing w:after="0"/>
                    <w:jc w:val="both"/>
                    <w:rPr>
                      <w:color w:val="000000"/>
                      <w:lang w:eastAsia="es-MX"/>
                    </w:rPr>
                  </w:pPr>
                  <w:r w:rsidRPr="00A51536">
                    <w:rPr>
                      <w:color w:val="000000"/>
                      <w:lang w:eastAsia="es-MX"/>
                    </w:rPr>
                    <w:t xml:space="preserve">180 </w:t>
                  </w:r>
                  <w:r w:rsidR="00453A75" w:rsidRPr="00A51536">
                    <w:rPr>
                      <w:color w:val="000000"/>
                      <w:lang w:eastAsia="es-MX"/>
                    </w:rPr>
                    <w:t>m</w:t>
                  </w:r>
                  <w:r w:rsidRPr="00A51536">
                    <w:rPr>
                      <w:color w:val="000000"/>
                      <w:lang w:eastAsia="es-MX"/>
                    </w:rPr>
                    <w:t>eses</w:t>
                  </w:r>
                </w:p>
              </w:tc>
            </w:tr>
            <w:tr w:rsidR="00DE3F3C" w:rsidRPr="00A51536" w14:paraId="7D1CBBF5" w14:textId="77777777" w:rsidTr="00A51536">
              <w:trPr>
                <w:trHeight w:val="51"/>
                <w:jc w:val="center"/>
              </w:trPr>
              <w:tc>
                <w:tcPr>
                  <w:tcW w:w="1374" w:type="pct"/>
                  <w:tcBorders>
                    <w:top w:val="nil"/>
                    <w:left w:val="single" w:sz="6" w:space="0" w:color="auto"/>
                    <w:bottom w:val="single" w:sz="6" w:space="0" w:color="auto"/>
                    <w:right w:val="single" w:sz="6" w:space="0" w:color="auto"/>
                  </w:tcBorders>
                  <w:shd w:val="clear" w:color="auto" w:fill="auto"/>
                  <w:vAlign w:val="center"/>
                </w:tcPr>
                <w:p w14:paraId="7CB40DCC" w14:textId="77777777" w:rsidR="00DE3F3C" w:rsidRPr="00A51536" w:rsidRDefault="00DE3F3C" w:rsidP="00A02A63">
                  <w:pPr>
                    <w:spacing w:after="0"/>
                    <w:jc w:val="both"/>
                    <w:rPr>
                      <w:color w:val="000000"/>
                      <w:lang w:eastAsia="es-MX"/>
                    </w:rPr>
                  </w:pPr>
                  <w:r w:rsidRPr="00A51536">
                    <w:rPr>
                      <w:color w:val="000000"/>
                      <w:lang w:eastAsia="es-MX"/>
                    </w:rPr>
                    <w:t>Institución crediticia</w:t>
                  </w:r>
                </w:p>
              </w:tc>
              <w:tc>
                <w:tcPr>
                  <w:tcW w:w="3626" w:type="pct"/>
                  <w:tcBorders>
                    <w:top w:val="nil"/>
                    <w:left w:val="nil"/>
                    <w:bottom w:val="single" w:sz="6" w:space="0" w:color="auto"/>
                    <w:right w:val="single" w:sz="6" w:space="0" w:color="auto"/>
                  </w:tcBorders>
                  <w:shd w:val="clear" w:color="auto" w:fill="auto"/>
                  <w:vAlign w:val="center"/>
                </w:tcPr>
                <w:p w14:paraId="228255A7" w14:textId="77777777" w:rsidR="00DE3F3C" w:rsidRPr="00A51536" w:rsidRDefault="00DE3F3C" w:rsidP="00A02A63">
                  <w:pPr>
                    <w:spacing w:after="0"/>
                    <w:jc w:val="both"/>
                    <w:rPr>
                      <w:color w:val="000000"/>
                      <w:lang w:eastAsia="es-MX"/>
                    </w:rPr>
                  </w:pPr>
                  <w:r w:rsidRPr="00A51536">
                    <w:rPr>
                      <w:color w:val="000000"/>
                      <w:lang w:eastAsia="es-MX"/>
                    </w:rPr>
                    <w:t>Banco Mercantil del Norte, S. A. Institución de Banca Múltiple, Grupo Financiero BANORTE.</w:t>
                  </w:r>
                </w:p>
              </w:tc>
            </w:tr>
            <w:tr w:rsidR="00DE3F3C" w:rsidRPr="00A51536" w14:paraId="61016422" w14:textId="77777777" w:rsidTr="00A51536">
              <w:trPr>
                <w:trHeight w:val="399"/>
                <w:jc w:val="center"/>
              </w:trPr>
              <w:tc>
                <w:tcPr>
                  <w:tcW w:w="1374" w:type="pct"/>
                  <w:tcBorders>
                    <w:top w:val="nil"/>
                    <w:left w:val="single" w:sz="6" w:space="0" w:color="auto"/>
                    <w:bottom w:val="single" w:sz="6" w:space="0" w:color="auto"/>
                    <w:right w:val="single" w:sz="6" w:space="0" w:color="auto"/>
                  </w:tcBorders>
                  <w:shd w:val="clear" w:color="auto" w:fill="auto"/>
                  <w:vAlign w:val="center"/>
                </w:tcPr>
                <w:p w14:paraId="5263B378" w14:textId="77777777" w:rsidR="00DE3F3C" w:rsidRPr="00A51536" w:rsidRDefault="00DE3F3C" w:rsidP="00A02A63">
                  <w:pPr>
                    <w:spacing w:after="0"/>
                    <w:jc w:val="both"/>
                    <w:rPr>
                      <w:color w:val="000000"/>
                      <w:lang w:eastAsia="es-MX"/>
                    </w:rPr>
                  </w:pPr>
                  <w:r w:rsidRPr="00A51536">
                    <w:rPr>
                      <w:color w:val="000000"/>
                      <w:lang w:eastAsia="es-MX"/>
                    </w:rPr>
                    <w:t>Objeto de aplicación</w:t>
                  </w:r>
                </w:p>
              </w:tc>
              <w:tc>
                <w:tcPr>
                  <w:tcW w:w="3626" w:type="pct"/>
                  <w:tcBorders>
                    <w:top w:val="nil"/>
                    <w:left w:val="nil"/>
                    <w:bottom w:val="single" w:sz="6" w:space="0" w:color="auto"/>
                    <w:right w:val="single" w:sz="6" w:space="0" w:color="auto"/>
                  </w:tcBorders>
                  <w:shd w:val="clear" w:color="auto" w:fill="auto"/>
                  <w:vAlign w:val="center"/>
                </w:tcPr>
                <w:p w14:paraId="55E8DA09" w14:textId="77777777" w:rsidR="00DE3F3C" w:rsidRPr="00A51536" w:rsidRDefault="00DE3F3C" w:rsidP="00A02A63">
                  <w:pPr>
                    <w:spacing w:after="0"/>
                    <w:jc w:val="both"/>
                    <w:rPr>
                      <w:color w:val="000000"/>
                      <w:lang w:eastAsia="es-MX"/>
                    </w:rPr>
                  </w:pPr>
                  <w:r w:rsidRPr="00A51536">
                    <w:rPr>
                      <w:color w:val="000000"/>
                      <w:lang w:eastAsia="es-MX"/>
                    </w:rPr>
                    <w:t>Refinanciamiento del contrato del 2008, de Crédito contratado con Banco Nacional de México, S. A. Integrante del Grupo Financiero Banamex, y Refinanciamiento del contrato del 2011, de Crédito contratado con Banco Mercantil del Norte, S.A. Institución de Banca Múltiple, Grupo Financiero BANORTE.</w:t>
                  </w:r>
                </w:p>
              </w:tc>
            </w:tr>
            <w:tr w:rsidR="00DE3F3C" w:rsidRPr="006C59FB" w14:paraId="4D660283" w14:textId="77777777" w:rsidTr="00A51536">
              <w:trPr>
                <w:trHeight w:val="51"/>
                <w:jc w:val="center"/>
              </w:trPr>
              <w:tc>
                <w:tcPr>
                  <w:tcW w:w="1374" w:type="pct"/>
                  <w:tcBorders>
                    <w:top w:val="single" w:sz="6" w:space="0" w:color="auto"/>
                    <w:left w:val="single" w:sz="6" w:space="0" w:color="auto"/>
                    <w:bottom w:val="single" w:sz="4" w:space="0" w:color="auto"/>
                    <w:right w:val="single" w:sz="6" w:space="0" w:color="auto"/>
                  </w:tcBorders>
                  <w:shd w:val="clear" w:color="auto" w:fill="auto"/>
                  <w:vAlign w:val="center"/>
                </w:tcPr>
                <w:p w14:paraId="0D6B5687" w14:textId="2C7DF666" w:rsidR="00DE3F3C" w:rsidRPr="00A51536" w:rsidRDefault="00DE3F3C" w:rsidP="00A02A63">
                  <w:pPr>
                    <w:spacing w:after="0"/>
                    <w:jc w:val="both"/>
                    <w:rPr>
                      <w:bCs/>
                      <w:color w:val="000000"/>
                      <w:lang w:eastAsia="es-MX"/>
                    </w:rPr>
                  </w:pPr>
                  <w:r w:rsidRPr="00A51536">
                    <w:rPr>
                      <w:bCs/>
                      <w:color w:val="000000"/>
                      <w:lang w:eastAsia="es-MX"/>
                    </w:rPr>
                    <w:t xml:space="preserve">Saldo al </w:t>
                  </w:r>
                  <w:r w:rsidR="00E73D5C">
                    <w:rPr>
                      <w:bCs/>
                      <w:color w:val="000000"/>
                      <w:lang w:eastAsia="es-MX"/>
                    </w:rPr>
                    <w:t>30 de junio 2023</w:t>
                  </w:r>
                </w:p>
              </w:tc>
              <w:tc>
                <w:tcPr>
                  <w:tcW w:w="3626" w:type="pct"/>
                  <w:tcBorders>
                    <w:top w:val="single" w:sz="6" w:space="0" w:color="auto"/>
                    <w:left w:val="nil"/>
                    <w:bottom w:val="single" w:sz="4" w:space="0" w:color="auto"/>
                    <w:right w:val="single" w:sz="6" w:space="0" w:color="auto"/>
                  </w:tcBorders>
                  <w:shd w:val="clear" w:color="auto" w:fill="auto"/>
                  <w:vAlign w:val="center"/>
                </w:tcPr>
                <w:p w14:paraId="69E33B47" w14:textId="60A66B4D" w:rsidR="00DE3F3C" w:rsidRPr="006C59FB" w:rsidRDefault="00D01563" w:rsidP="00A02A63">
                  <w:pPr>
                    <w:spacing w:after="0"/>
                    <w:jc w:val="both"/>
                    <w:rPr>
                      <w:bCs/>
                      <w:color w:val="000000"/>
                      <w:lang w:eastAsia="es-MX"/>
                    </w:rPr>
                  </w:pPr>
                  <w:r w:rsidRPr="00E73D5C">
                    <w:rPr>
                      <w:bCs/>
                      <w:color w:val="000000"/>
                      <w:lang w:eastAsia="es-MX"/>
                    </w:rPr>
                    <w:t>$</w:t>
                  </w:r>
                  <w:r w:rsidR="00E73D5C" w:rsidRPr="00E73D5C">
                    <w:rPr>
                      <w:bCs/>
                      <w:color w:val="000000"/>
                      <w:lang w:eastAsia="es-MX"/>
                    </w:rPr>
                    <w:t>0.00</w:t>
                  </w:r>
                </w:p>
              </w:tc>
            </w:tr>
          </w:tbl>
          <w:p w14:paraId="5D7B2EC2" w14:textId="77777777" w:rsidR="000570AA" w:rsidRDefault="00DE3F3C" w:rsidP="00A02A63">
            <w:pPr>
              <w:spacing w:after="0"/>
              <w:jc w:val="both"/>
              <w:rPr>
                <w:lang w:eastAsia="es-MX"/>
              </w:rPr>
            </w:pPr>
            <w:r w:rsidRPr="006C59FB">
              <w:rPr>
                <w:lang w:eastAsia="es-MX"/>
              </w:rPr>
              <w:t xml:space="preserve"> </w:t>
            </w:r>
          </w:p>
          <w:tbl>
            <w:tblPr>
              <w:tblW w:w="8838" w:type="dxa"/>
              <w:jc w:val="center"/>
              <w:tblLayout w:type="fixed"/>
              <w:tblCellMar>
                <w:left w:w="70" w:type="dxa"/>
                <w:right w:w="70" w:type="dxa"/>
              </w:tblCellMar>
              <w:tblLook w:val="0000" w:firstRow="0" w:lastRow="0" w:firstColumn="0" w:lastColumn="0" w:noHBand="0" w:noVBand="0"/>
            </w:tblPr>
            <w:tblGrid>
              <w:gridCol w:w="2429"/>
              <w:gridCol w:w="6409"/>
            </w:tblGrid>
            <w:tr w:rsidR="00E73D5C" w:rsidRPr="00A03A43" w14:paraId="55AFA96D" w14:textId="77777777" w:rsidTr="00A55047">
              <w:trPr>
                <w:trHeight w:val="287"/>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14:paraId="672D735D" w14:textId="77777777" w:rsidR="00E73D5C" w:rsidRPr="00DF0D08" w:rsidRDefault="00E73D5C" w:rsidP="00E73D5C">
                  <w:pPr>
                    <w:spacing w:after="0"/>
                    <w:jc w:val="center"/>
                    <w:rPr>
                      <w:b/>
                      <w:bCs/>
                      <w:color w:val="000000"/>
                      <w:lang w:eastAsia="es-MX"/>
                    </w:rPr>
                  </w:pPr>
                  <w:r w:rsidRPr="00DF0D08">
                    <w:rPr>
                      <w:b/>
                      <w:bCs/>
                      <w:color w:val="000000"/>
                      <w:lang w:eastAsia="es-MX"/>
                    </w:rPr>
                    <w:t>Crédito con BBVA México, Institución de banca múltiple grupo financiero BBVA México</w:t>
                  </w:r>
                </w:p>
              </w:tc>
            </w:tr>
            <w:tr w:rsidR="00E73D5C" w:rsidRPr="006C59FB" w14:paraId="2323C1D8" w14:textId="77777777" w:rsidTr="00A55047">
              <w:trPr>
                <w:trHeight w:val="51"/>
                <w:jc w:val="center"/>
              </w:trPr>
              <w:tc>
                <w:tcPr>
                  <w:tcW w:w="1374" w:type="pct"/>
                  <w:tcBorders>
                    <w:top w:val="nil"/>
                    <w:left w:val="single" w:sz="6" w:space="0" w:color="auto"/>
                    <w:bottom w:val="single" w:sz="6" w:space="0" w:color="auto"/>
                    <w:right w:val="single" w:sz="6" w:space="0" w:color="auto"/>
                  </w:tcBorders>
                  <w:vAlign w:val="center"/>
                </w:tcPr>
                <w:p w14:paraId="4F0390FD" w14:textId="77777777" w:rsidR="00E73D5C" w:rsidRPr="00DF0D08" w:rsidRDefault="00E73D5C" w:rsidP="00E73D5C">
                  <w:pPr>
                    <w:spacing w:after="0"/>
                    <w:jc w:val="both"/>
                    <w:rPr>
                      <w:color w:val="000000"/>
                      <w:lang w:eastAsia="es-MX"/>
                    </w:rPr>
                  </w:pPr>
                  <w:r w:rsidRPr="00DF0D08">
                    <w:rPr>
                      <w:color w:val="000000"/>
                      <w:lang w:eastAsia="es-MX"/>
                    </w:rPr>
                    <w:t>Responsable de la Autorización</w:t>
                  </w:r>
                </w:p>
              </w:tc>
              <w:tc>
                <w:tcPr>
                  <w:tcW w:w="3626" w:type="pct"/>
                  <w:tcBorders>
                    <w:top w:val="nil"/>
                    <w:left w:val="nil"/>
                    <w:bottom w:val="single" w:sz="6" w:space="0" w:color="auto"/>
                    <w:right w:val="single" w:sz="6" w:space="0" w:color="auto"/>
                  </w:tcBorders>
                  <w:vAlign w:val="center"/>
                </w:tcPr>
                <w:p w14:paraId="56DE244F" w14:textId="77777777" w:rsidR="00E73D5C" w:rsidRPr="00DF0D08" w:rsidRDefault="00E73D5C" w:rsidP="00E73D5C">
                  <w:pPr>
                    <w:spacing w:after="0"/>
                    <w:jc w:val="both"/>
                    <w:rPr>
                      <w:color w:val="000000"/>
                      <w:lang w:eastAsia="es-MX"/>
                    </w:rPr>
                  </w:pPr>
                  <w:r w:rsidRPr="00DF0D08">
                    <w:rPr>
                      <w:color w:val="000000"/>
                      <w:lang w:eastAsia="es-MX"/>
                    </w:rPr>
                    <w:t>H. Ayuntamiento de Zapopan, Administración 2021-2024.</w:t>
                  </w:r>
                </w:p>
              </w:tc>
            </w:tr>
            <w:tr w:rsidR="00E73D5C" w:rsidRPr="006C59FB" w14:paraId="766E9AFE" w14:textId="77777777" w:rsidTr="00A55047">
              <w:trPr>
                <w:trHeight w:val="51"/>
                <w:jc w:val="center"/>
              </w:trPr>
              <w:tc>
                <w:tcPr>
                  <w:tcW w:w="1374" w:type="pct"/>
                  <w:tcBorders>
                    <w:top w:val="nil"/>
                    <w:left w:val="single" w:sz="6" w:space="0" w:color="auto"/>
                    <w:bottom w:val="single" w:sz="6" w:space="0" w:color="auto"/>
                    <w:right w:val="single" w:sz="6" w:space="0" w:color="auto"/>
                  </w:tcBorders>
                  <w:vAlign w:val="center"/>
                </w:tcPr>
                <w:p w14:paraId="2DD03876" w14:textId="77777777" w:rsidR="00E73D5C" w:rsidRPr="00DF0D08" w:rsidRDefault="00E73D5C" w:rsidP="00E73D5C">
                  <w:pPr>
                    <w:spacing w:after="0"/>
                    <w:jc w:val="both"/>
                    <w:rPr>
                      <w:color w:val="000000"/>
                      <w:lang w:eastAsia="es-MX"/>
                    </w:rPr>
                  </w:pPr>
                  <w:r w:rsidRPr="00DF0D08">
                    <w:rPr>
                      <w:color w:val="000000"/>
                      <w:lang w:eastAsia="es-MX"/>
                    </w:rPr>
                    <w:t>Fecha de contratación</w:t>
                  </w:r>
                </w:p>
              </w:tc>
              <w:tc>
                <w:tcPr>
                  <w:tcW w:w="3626" w:type="pct"/>
                  <w:tcBorders>
                    <w:top w:val="nil"/>
                    <w:left w:val="nil"/>
                    <w:bottom w:val="single" w:sz="6" w:space="0" w:color="auto"/>
                    <w:right w:val="single" w:sz="6" w:space="0" w:color="auto"/>
                  </w:tcBorders>
                  <w:vAlign w:val="center"/>
                </w:tcPr>
                <w:p w14:paraId="2812DB2A" w14:textId="77777777" w:rsidR="00E73D5C" w:rsidRPr="00DF0D08" w:rsidRDefault="00E73D5C" w:rsidP="00E73D5C">
                  <w:pPr>
                    <w:spacing w:after="0"/>
                    <w:jc w:val="both"/>
                    <w:rPr>
                      <w:color w:val="000000"/>
                      <w:lang w:eastAsia="es-MX"/>
                    </w:rPr>
                  </w:pPr>
                  <w:r>
                    <w:rPr>
                      <w:color w:val="000000"/>
                      <w:lang w:eastAsia="es-MX"/>
                    </w:rPr>
                    <w:t>28 de noviembre del 2022</w:t>
                  </w:r>
                </w:p>
              </w:tc>
            </w:tr>
            <w:tr w:rsidR="00E73D5C" w:rsidRPr="006C59FB" w14:paraId="6ECB3408" w14:textId="77777777" w:rsidTr="00A55047">
              <w:trPr>
                <w:trHeight w:val="51"/>
                <w:jc w:val="center"/>
              </w:trPr>
              <w:tc>
                <w:tcPr>
                  <w:tcW w:w="1374" w:type="pct"/>
                  <w:tcBorders>
                    <w:top w:val="nil"/>
                    <w:left w:val="single" w:sz="6" w:space="0" w:color="auto"/>
                    <w:bottom w:val="single" w:sz="6" w:space="0" w:color="auto"/>
                    <w:right w:val="single" w:sz="6" w:space="0" w:color="auto"/>
                  </w:tcBorders>
                  <w:vAlign w:val="center"/>
                </w:tcPr>
                <w:p w14:paraId="0C3D0015" w14:textId="77777777" w:rsidR="00E73D5C" w:rsidRPr="00DF0D08" w:rsidRDefault="00E73D5C" w:rsidP="00E73D5C">
                  <w:pPr>
                    <w:spacing w:after="0"/>
                    <w:jc w:val="both"/>
                    <w:rPr>
                      <w:color w:val="000000"/>
                      <w:lang w:eastAsia="es-MX"/>
                    </w:rPr>
                  </w:pPr>
                  <w:r w:rsidRPr="00DF0D08">
                    <w:rPr>
                      <w:color w:val="000000"/>
                      <w:lang w:eastAsia="es-MX"/>
                    </w:rPr>
                    <w:t xml:space="preserve">Monto </w:t>
                  </w:r>
                  <w:r>
                    <w:rPr>
                      <w:color w:val="000000"/>
                      <w:lang w:eastAsia="es-MX"/>
                    </w:rPr>
                    <w:t xml:space="preserve">Original </w:t>
                  </w:r>
                  <w:r w:rsidRPr="00DF0D08">
                    <w:rPr>
                      <w:color w:val="000000"/>
                      <w:lang w:eastAsia="es-MX"/>
                    </w:rPr>
                    <w:t>del crédito</w:t>
                  </w:r>
                  <w:r>
                    <w:rPr>
                      <w:color w:val="000000"/>
                      <w:lang w:eastAsia="es-MX"/>
                    </w:rPr>
                    <w:t xml:space="preserve"> Contratado </w:t>
                  </w:r>
                </w:p>
              </w:tc>
              <w:tc>
                <w:tcPr>
                  <w:tcW w:w="3626" w:type="pct"/>
                  <w:tcBorders>
                    <w:top w:val="nil"/>
                    <w:left w:val="nil"/>
                    <w:bottom w:val="single" w:sz="6" w:space="0" w:color="auto"/>
                    <w:right w:val="single" w:sz="6" w:space="0" w:color="auto"/>
                  </w:tcBorders>
                  <w:vAlign w:val="center"/>
                </w:tcPr>
                <w:p w14:paraId="1B38D835" w14:textId="77777777" w:rsidR="00E73D5C" w:rsidRPr="00DF0D08" w:rsidRDefault="00E73D5C" w:rsidP="00E73D5C">
                  <w:pPr>
                    <w:spacing w:after="0"/>
                    <w:jc w:val="both"/>
                    <w:rPr>
                      <w:color w:val="000000"/>
                      <w:lang w:eastAsia="es-MX"/>
                    </w:rPr>
                  </w:pPr>
                  <w:r w:rsidRPr="00DF0D08">
                    <w:rPr>
                      <w:color w:val="000000"/>
                      <w:lang w:eastAsia="es-MX"/>
                    </w:rPr>
                    <w:t>$</w:t>
                  </w:r>
                  <w:r>
                    <w:rPr>
                      <w:color w:val="000000"/>
                      <w:lang w:eastAsia="es-MX"/>
                    </w:rPr>
                    <w:t xml:space="preserve"> 805,107,892.22 </w:t>
                  </w:r>
                  <w:r w:rsidRPr="00DF0D08">
                    <w:rPr>
                      <w:color w:val="000000"/>
                      <w:lang w:eastAsia="es-MX"/>
                    </w:rPr>
                    <w:t>(</w:t>
                  </w:r>
                  <w:r>
                    <w:rPr>
                      <w:color w:val="000000"/>
                      <w:lang w:eastAsia="es-MX"/>
                    </w:rPr>
                    <w:t>Ochocientos cinco millones ciento siete mil ochocientos noventa y dos pesos 22</w:t>
                  </w:r>
                  <w:r w:rsidRPr="00DF0D08">
                    <w:rPr>
                      <w:color w:val="000000"/>
                      <w:lang w:eastAsia="es-MX"/>
                    </w:rPr>
                    <w:t xml:space="preserve">/100 M. N.) </w:t>
                  </w:r>
                </w:p>
              </w:tc>
            </w:tr>
            <w:tr w:rsidR="00E73D5C" w:rsidRPr="006C59FB" w14:paraId="22703230" w14:textId="77777777" w:rsidTr="00A55047">
              <w:trPr>
                <w:trHeight w:val="51"/>
                <w:jc w:val="center"/>
              </w:trPr>
              <w:tc>
                <w:tcPr>
                  <w:tcW w:w="1374" w:type="pct"/>
                  <w:tcBorders>
                    <w:top w:val="nil"/>
                    <w:left w:val="single" w:sz="6" w:space="0" w:color="auto"/>
                    <w:bottom w:val="single" w:sz="6" w:space="0" w:color="auto"/>
                    <w:right w:val="single" w:sz="6" w:space="0" w:color="auto"/>
                  </w:tcBorders>
                  <w:vAlign w:val="center"/>
                </w:tcPr>
                <w:p w14:paraId="0497FB64" w14:textId="77777777" w:rsidR="00E73D5C" w:rsidRPr="00DF0D08" w:rsidRDefault="00E73D5C" w:rsidP="00E73D5C">
                  <w:pPr>
                    <w:spacing w:after="0"/>
                    <w:jc w:val="both"/>
                    <w:rPr>
                      <w:color w:val="000000"/>
                      <w:lang w:eastAsia="es-MX"/>
                    </w:rPr>
                  </w:pPr>
                  <w:r w:rsidRPr="00DF0D08">
                    <w:rPr>
                      <w:color w:val="000000"/>
                      <w:lang w:eastAsia="es-MX"/>
                    </w:rPr>
                    <w:t>Tasa de interés</w:t>
                  </w:r>
                </w:p>
              </w:tc>
              <w:tc>
                <w:tcPr>
                  <w:tcW w:w="3626" w:type="pct"/>
                  <w:tcBorders>
                    <w:top w:val="nil"/>
                    <w:left w:val="nil"/>
                    <w:bottom w:val="single" w:sz="6" w:space="0" w:color="auto"/>
                    <w:right w:val="single" w:sz="6" w:space="0" w:color="auto"/>
                  </w:tcBorders>
                  <w:vAlign w:val="center"/>
                </w:tcPr>
                <w:p w14:paraId="5593CEC5" w14:textId="77777777" w:rsidR="00E73D5C" w:rsidRPr="00DF0D08" w:rsidRDefault="00E73D5C" w:rsidP="00E73D5C">
                  <w:pPr>
                    <w:spacing w:after="0"/>
                    <w:jc w:val="both"/>
                    <w:rPr>
                      <w:color w:val="000000"/>
                      <w:lang w:eastAsia="es-MX"/>
                    </w:rPr>
                  </w:pPr>
                  <w:r w:rsidRPr="00DF0D08">
                    <w:rPr>
                      <w:color w:val="000000"/>
                      <w:lang w:eastAsia="es-MX"/>
                    </w:rPr>
                    <w:t>TIIE</w:t>
                  </w:r>
                  <w:r>
                    <w:rPr>
                      <w:color w:val="000000"/>
                      <w:lang w:eastAsia="es-MX"/>
                    </w:rPr>
                    <w:t xml:space="preserve"> a 28 días más sobretasa de 0.32% tasa efectiva 10.80%</w:t>
                  </w:r>
                </w:p>
              </w:tc>
            </w:tr>
            <w:tr w:rsidR="00E73D5C" w:rsidRPr="006C59FB" w14:paraId="02FE0DEB" w14:textId="77777777" w:rsidTr="00A55047">
              <w:trPr>
                <w:trHeight w:val="51"/>
                <w:jc w:val="center"/>
              </w:trPr>
              <w:tc>
                <w:tcPr>
                  <w:tcW w:w="1374" w:type="pct"/>
                  <w:tcBorders>
                    <w:top w:val="nil"/>
                    <w:left w:val="single" w:sz="6" w:space="0" w:color="auto"/>
                    <w:bottom w:val="single" w:sz="6" w:space="0" w:color="auto"/>
                    <w:right w:val="single" w:sz="6" w:space="0" w:color="auto"/>
                  </w:tcBorders>
                  <w:vAlign w:val="center"/>
                </w:tcPr>
                <w:p w14:paraId="45420E04" w14:textId="77777777" w:rsidR="00E73D5C" w:rsidRPr="00DF0D08" w:rsidRDefault="00E73D5C" w:rsidP="00E73D5C">
                  <w:pPr>
                    <w:spacing w:after="0"/>
                    <w:jc w:val="both"/>
                    <w:rPr>
                      <w:color w:val="000000"/>
                      <w:lang w:eastAsia="es-MX"/>
                    </w:rPr>
                  </w:pPr>
                  <w:r w:rsidRPr="00DF0D08">
                    <w:rPr>
                      <w:color w:val="000000"/>
                      <w:lang w:eastAsia="es-MX"/>
                    </w:rPr>
                    <w:t>Monto total amortizable</w:t>
                  </w:r>
                </w:p>
              </w:tc>
              <w:tc>
                <w:tcPr>
                  <w:tcW w:w="3626" w:type="pct"/>
                  <w:tcBorders>
                    <w:top w:val="nil"/>
                    <w:left w:val="nil"/>
                    <w:bottom w:val="single" w:sz="6" w:space="0" w:color="auto"/>
                    <w:right w:val="single" w:sz="6" w:space="0" w:color="auto"/>
                  </w:tcBorders>
                  <w:vAlign w:val="center"/>
                </w:tcPr>
                <w:p w14:paraId="12207A3C" w14:textId="77777777" w:rsidR="00E73D5C" w:rsidRPr="00DF0D08" w:rsidRDefault="00E73D5C" w:rsidP="00E73D5C">
                  <w:pPr>
                    <w:spacing w:after="0"/>
                    <w:jc w:val="both"/>
                    <w:rPr>
                      <w:color w:val="000000"/>
                      <w:lang w:eastAsia="es-MX"/>
                    </w:rPr>
                  </w:pPr>
                  <w:r w:rsidRPr="00DF0D08">
                    <w:rPr>
                      <w:color w:val="000000"/>
                      <w:lang w:eastAsia="es-MX"/>
                    </w:rPr>
                    <w:t>Pagos mensuales y consecutivos de capital.</w:t>
                  </w:r>
                </w:p>
              </w:tc>
            </w:tr>
            <w:tr w:rsidR="00E73D5C" w:rsidRPr="006C59FB" w14:paraId="26B88FC4" w14:textId="77777777" w:rsidTr="00A55047">
              <w:trPr>
                <w:trHeight w:val="51"/>
                <w:jc w:val="center"/>
              </w:trPr>
              <w:tc>
                <w:tcPr>
                  <w:tcW w:w="1374" w:type="pct"/>
                  <w:tcBorders>
                    <w:top w:val="nil"/>
                    <w:left w:val="single" w:sz="6" w:space="0" w:color="auto"/>
                    <w:bottom w:val="single" w:sz="6" w:space="0" w:color="auto"/>
                    <w:right w:val="single" w:sz="6" w:space="0" w:color="auto"/>
                  </w:tcBorders>
                  <w:vAlign w:val="center"/>
                </w:tcPr>
                <w:p w14:paraId="676893BC" w14:textId="77777777" w:rsidR="00E73D5C" w:rsidRPr="00DF0D08" w:rsidRDefault="00E73D5C" w:rsidP="00E73D5C">
                  <w:pPr>
                    <w:spacing w:after="0"/>
                    <w:jc w:val="both"/>
                    <w:rPr>
                      <w:color w:val="000000"/>
                      <w:lang w:eastAsia="es-MX"/>
                    </w:rPr>
                  </w:pPr>
                  <w:r w:rsidRPr="00DF0D08">
                    <w:rPr>
                      <w:color w:val="000000"/>
                      <w:lang w:eastAsia="es-MX"/>
                    </w:rPr>
                    <w:t>Plazo de vencimiento</w:t>
                  </w:r>
                </w:p>
              </w:tc>
              <w:tc>
                <w:tcPr>
                  <w:tcW w:w="3626" w:type="pct"/>
                  <w:tcBorders>
                    <w:top w:val="nil"/>
                    <w:left w:val="nil"/>
                    <w:bottom w:val="single" w:sz="6" w:space="0" w:color="auto"/>
                    <w:right w:val="single" w:sz="6" w:space="0" w:color="auto"/>
                  </w:tcBorders>
                  <w:vAlign w:val="center"/>
                </w:tcPr>
                <w:p w14:paraId="31F88950" w14:textId="3B230366" w:rsidR="00E73D5C" w:rsidRPr="00DF0D08" w:rsidRDefault="00E73D5C" w:rsidP="00E73D5C">
                  <w:pPr>
                    <w:spacing w:after="0"/>
                    <w:jc w:val="both"/>
                    <w:rPr>
                      <w:color w:val="000000"/>
                      <w:lang w:eastAsia="es-MX"/>
                    </w:rPr>
                  </w:pPr>
                  <w:r>
                    <w:rPr>
                      <w:color w:val="000000"/>
                      <w:lang w:eastAsia="es-MX"/>
                    </w:rPr>
                    <w:t xml:space="preserve">78 </w:t>
                  </w:r>
                  <w:r w:rsidRPr="00DF0D08">
                    <w:rPr>
                      <w:color w:val="000000"/>
                      <w:lang w:eastAsia="es-MX"/>
                    </w:rPr>
                    <w:t>meses</w:t>
                  </w:r>
                  <w:r>
                    <w:rPr>
                      <w:color w:val="000000"/>
                      <w:lang w:eastAsia="es-MX"/>
                    </w:rPr>
                    <w:t xml:space="preserve"> (2,429) días naturales contando a partir de la firma del contrato y su fecha de vencimiento es igual al contrato original es decir 07 de mayo de 2029.</w:t>
                  </w:r>
                </w:p>
              </w:tc>
            </w:tr>
            <w:tr w:rsidR="00E73D5C" w:rsidRPr="006C59FB" w14:paraId="0EAEFE44" w14:textId="77777777" w:rsidTr="00A55047">
              <w:trPr>
                <w:trHeight w:val="51"/>
                <w:jc w:val="center"/>
              </w:trPr>
              <w:tc>
                <w:tcPr>
                  <w:tcW w:w="1374" w:type="pct"/>
                  <w:tcBorders>
                    <w:top w:val="nil"/>
                    <w:left w:val="single" w:sz="6" w:space="0" w:color="auto"/>
                    <w:bottom w:val="single" w:sz="6" w:space="0" w:color="auto"/>
                    <w:right w:val="single" w:sz="6" w:space="0" w:color="auto"/>
                  </w:tcBorders>
                  <w:vAlign w:val="center"/>
                </w:tcPr>
                <w:p w14:paraId="1170138B" w14:textId="77777777" w:rsidR="00E73D5C" w:rsidRPr="00DF0D08" w:rsidRDefault="00E73D5C" w:rsidP="00E73D5C">
                  <w:pPr>
                    <w:spacing w:after="0"/>
                    <w:jc w:val="both"/>
                    <w:rPr>
                      <w:color w:val="000000"/>
                      <w:lang w:eastAsia="es-MX"/>
                    </w:rPr>
                  </w:pPr>
                  <w:r w:rsidRPr="00DF0D08">
                    <w:rPr>
                      <w:color w:val="000000"/>
                      <w:lang w:eastAsia="es-MX"/>
                    </w:rPr>
                    <w:t>Institución crediticia</w:t>
                  </w:r>
                </w:p>
              </w:tc>
              <w:tc>
                <w:tcPr>
                  <w:tcW w:w="3626" w:type="pct"/>
                  <w:tcBorders>
                    <w:top w:val="nil"/>
                    <w:left w:val="nil"/>
                    <w:bottom w:val="single" w:sz="6" w:space="0" w:color="auto"/>
                    <w:right w:val="single" w:sz="6" w:space="0" w:color="auto"/>
                  </w:tcBorders>
                  <w:vAlign w:val="center"/>
                </w:tcPr>
                <w:p w14:paraId="13AA7DF6" w14:textId="77777777" w:rsidR="00E73D5C" w:rsidRPr="00DF0D08" w:rsidRDefault="00E73D5C" w:rsidP="00E73D5C">
                  <w:pPr>
                    <w:spacing w:after="0"/>
                    <w:jc w:val="both"/>
                    <w:rPr>
                      <w:color w:val="000000"/>
                      <w:lang w:eastAsia="es-MX"/>
                    </w:rPr>
                  </w:pPr>
                  <w:r>
                    <w:rPr>
                      <w:color w:val="000000"/>
                      <w:lang w:eastAsia="es-MX"/>
                    </w:rPr>
                    <w:t>BBVA México, S.A Institución de Banca Múltiple grupo financiero BBVA México</w:t>
                  </w:r>
                  <w:r w:rsidRPr="00DF0D08">
                    <w:rPr>
                      <w:color w:val="000000"/>
                      <w:lang w:eastAsia="es-MX"/>
                    </w:rPr>
                    <w:t>.</w:t>
                  </w:r>
                </w:p>
              </w:tc>
            </w:tr>
            <w:tr w:rsidR="00E73D5C" w:rsidRPr="006C59FB" w14:paraId="226758C9" w14:textId="77777777" w:rsidTr="00A55047">
              <w:trPr>
                <w:trHeight w:val="51"/>
                <w:jc w:val="center"/>
              </w:trPr>
              <w:tc>
                <w:tcPr>
                  <w:tcW w:w="1374" w:type="pct"/>
                  <w:tcBorders>
                    <w:top w:val="nil"/>
                    <w:left w:val="single" w:sz="6" w:space="0" w:color="auto"/>
                    <w:bottom w:val="single" w:sz="6" w:space="0" w:color="auto"/>
                    <w:right w:val="single" w:sz="6" w:space="0" w:color="auto"/>
                  </w:tcBorders>
                  <w:vAlign w:val="center"/>
                </w:tcPr>
                <w:p w14:paraId="6A5D3D82" w14:textId="77777777" w:rsidR="00E73D5C" w:rsidRPr="00DF0D08" w:rsidRDefault="00E73D5C" w:rsidP="00E73D5C">
                  <w:pPr>
                    <w:spacing w:after="0"/>
                    <w:jc w:val="both"/>
                    <w:rPr>
                      <w:color w:val="000000"/>
                      <w:lang w:eastAsia="es-MX"/>
                    </w:rPr>
                  </w:pPr>
                  <w:r w:rsidRPr="00DF0D08">
                    <w:rPr>
                      <w:color w:val="000000"/>
                      <w:lang w:eastAsia="es-MX"/>
                    </w:rPr>
                    <w:t>Objeto de aplicación</w:t>
                  </w:r>
                </w:p>
              </w:tc>
              <w:tc>
                <w:tcPr>
                  <w:tcW w:w="3626" w:type="pct"/>
                  <w:tcBorders>
                    <w:top w:val="nil"/>
                    <w:left w:val="nil"/>
                    <w:bottom w:val="single" w:sz="6" w:space="0" w:color="auto"/>
                    <w:right w:val="single" w:sz="6" w:space="0" w:color="auto"/>
                  </w:tcBorders>
                  <w:vAlign w:val="center"/>
                </w:tcPr>
                <w:p w14:paraId="160D9705" w14:textId="77777777" w:rsidR="00E73D5C" w:rsidRPr="00DF0D08" w:rsidRDefault="00E73D5C" w:rsidP="00E73D5C">
                  <w:pPr>
                    <w:spacing w:after="0"/>
                    <w:jc w:val="both"/>
                    <w:rPr>
                      <w:color w:val="000000"/>
                      <w:lang w:eastAsia="es-MX"/>
                    </w:rPr>
                  </w:pPr>
                  <w:r>
                    <w:rPr>
                      <w:color w:val="000000"/>
                      <w:lang w:eastAsia="es-MX"/>
                    </w:rPr>
                    <w:t xml:space="preserve">Refinanciamiento del contrato de fecha 09 de abril de 2014 con clave de inscripción P14-0414044 contratado con Banco Mercantil del Norte, SA, Institución de Banca Múltiple, Grupo Financiero Banorte y </w:t>
                  </w:r>
                  <w:r>
                    <w:rPr>
                      <w:color w:val="000000"/>
                      <w:lang w:eastAsia="es-MX"/>
                    </w:rPr>
                    <w:lastRenderedPageBreak/>
                    <w:t>refinanciado con la Institución BBVA México, S.A, Institución de Banca Múltiple grupo financiero BBVA México</w:t>
                  </w:r>
                </w:p>
              </w:tc>
            </w:tr>
            <w:tr w:rsidR="00E73D5C" w:rsidRPr="006C59FB" w14:paraId="10E93788" w14:textId="77777777" w:rsidTr="00A55047">
              <w:trPr>
                <w:trHeight w:val="51"/>
                <w:jc w:val="center"/>
              </w:trPr>
              <w:tc>
                <w:tcPr>
                  <w:tcW w:w="1374" w:type="pct"/>
                  <w:tcBorders>
                    <w:top w:val="single" w:sz="6" w:space="0" w:color="auto"/>
                    <w:left w:val="single" w:sz="6" w:space="0" w:color="auto"/>
                    <w:bottom w:val="single" w:sz="4" w:space="0" w:color="auto"/>
                    <w:right w:val="single" w:sz="6" w:space="0" w:color="auto"/>
                  </w:tcBorders>
                  <w:vAlign w:val="center"/>
                </w:tcPr>
                <w:p w14:paraId="71C5D2CF" w14:textId="54F2FBFC" w:rsidR="00E73D5C" w:rsidRPr="00DF0D08" w:rsidRDefault="00E73D5C" w:rsidP="00E73D5C">
                  <w:pPr>
                    <w:spacing w:after="0"/>
                    <w:jc w:val="both"/>
                    <w:rPr>
                      <w:bCs/>
                      <w:color w:val="000000"/>
                      <w:lang w:eastAsia="es-MX"/>
                    </w:rPr>
                  </w:pPr>
                  <w:r w:rsidRPr="00DF0D08">
                    <w:rPr>
                      <w:bCs/>
                      <w:color w:val="000000"/>
                      <w:lang w:eastAsia="es-MX"/>
                    </w:rPr>
                    <w:lastRenderedPageBreak/>
                    <w:t xml:space="preserve">Saldo al </w:t>
                  </w:r>
                  <w:r>
                    <w:rPr>
                      <w:bCs/>
                      <w:color w:val="000000"/>
                      <w:lang w:eastAsia="es-MX"/>
                    </w:rPr>
                    <w:t>30 de junio del 2023</w:t>
                  </w:r>
                </w:p>
              </w:tc>
              <w:tc>
                <w:tcPr>
                  <w:tcW w:w="3626" w:type="pct"/>
                  <w:tcBorders>
                    <w:top w:val="single" w:sz="6" w:space="0" w:color="auto"/>
                    <w:left w:val="nil"/>
                    <w:bottom w:val="single" w:sz="4" w:space="0" w:color="auto"/>
                    <w:right w:val="single" w:sz="6" w:space="0" w:color="auto"/>
                  </w:tcBorders>
                  <w:vAlign w:val="center"/>
                </w:tcPr>
                <w:p w14:paraId="4D354D74" w14:textId="71D3B04A" w:rsidR="00E73D5C" w:rsidRPr="00DF0D08" w:rsidRDefault="00E73D5C" w:rsidP="00E73D5C">
                  <w:pPr>
                    <w:spacing w:after="0"/>
                    <w:jc w:val="both"/>
                    <w:rPr>
                      <w:bCs/>
                      <w:color w:val="000000"/>
                      <w:lang w:eastAsia="es-MX"/>
                    </w:rPr>
                  </w:pPr>
                  <w:r w:rsidRPr="00DF0D08">
                    <w:rPr>
                      <w:bCs/>
                      <w:color w:val="000000"/>
                      <w:lang w:eastAsia="es-MX"/>
                    </w:rPr>
                    <w:t>$</w:t>
                  </w:r>
                  <w:r>
                    <w:rPr>
                      <w:bCs/>
                      <w:color w:val="000000"/>
                      <w:lang w:eastAsia="es-MX"/>
                    </w:rPr>
                    <w:t>745,010,528.66</w:t>
                  </w:r>
                </w:p>
              </w:tc>
            </w:tr>
          </w:tbl>
          <w:p w14:paraId="174A660B" w14:textId="77777777" w:rsidR="00A02A63" w:rsidRPr="006C59FB" w:rsidRDefault="00A02A63" w:rsidP="00A02A63">
            <w:pPr>
              <w:spacing w:after="0"/>
              <w:jc w:val="both"/>
              <w:rPr>
                <w:lang w:eastAsia="es-MX"/>
              </w:rPr>
            </w:pPr>
          </w:p>
          <w:p w14:paraId="1C396993" w14:textId="77777777" w:rsidR="00E81301" w:rsidRPr="006C59FB" w:rsidRDefault="006D0E96" w:rsidP="00A02A63">
            <w:pPr>
              <w:spacing w:after="0" w:line="360" w:lineRule="auto"/>
              <w:jc w:val="both"/>
              <w:rPr>
                <w:lang w:eastAsia="es-MX"/>
              </w:rPr>
            </w:pPr>
            <w:r w:rsidRPr="006C59FB">
              <w:rPr>
                <w:lang w:eastAsia="es-MX"/>
              </w:rPr>
              <w:t>Además de l</w:t>
            </w:r>
            <w:r w:rsidR="00E81301" w:rsidRPr="006C59FB">
              <w:rPr>
                <w:lang w:eastAsia="es-MX"/>
              </w:rPr>
              <w:t xml:space="preserve">as obligaciones financieras directas contratadas </w:t>
            </w:r>
            <w:r w:rsidR="003E7687" w:rsidRPr="006C59FB">
              <w:rPr>
                <w:lang w:eastAsia="es-MX"/>
              </w:rPr>
              <w:t xml:space="preserve">con vigencia </w:t>
            </w:r>
            <w:r w:rsidRPr="006C59FB">
              <w:rPr>
                <w:lang w:eastAsia="es-MX"/>
              </w:rPr>
              <w:t xml:space="preserve">a partir del 04 de </w:t>
            </w:r>
            <w:r w:rsidR="00453A75" w:rsidRPr="006C59FB">
              <w:rPr>
                <w:lang w:eastAsia="es-MX"/>
              </w:rPr>
              <w:t>d</w:t>
            </w:r>
            <w:r w:rsidRPr="006C59FB">
              <w:rPr>
                <w:lang w:eastAsia="es-MX"/>
              </w:rPr>
              <w:t xml:space="preserve">iciembre del 2019, </w:t>
            </w:r>
            <w:r w:rsidR="003E7687" w:rsidRPr="006C59FB">
              <w:rPr>
                <w:lang w:eastAsia="es-MX"/>
              </w:rPr>
              <w:t xml:space="preserve">garantizadas con </w:t>
            </w:r>
            <w:r w:rsidR="00C12367" w:rsidRPr="006C59FB">
              <w:rPr>
                <w:lang w:eastAsia="es-MX"/>
              </w:rPr>
              <w:t xml:space="preserve">fuente de pago hasta 35% del Fondo General de las Participaciones del Ramo 28, y hasta 35% de los derechos e ingresos que por concepto de participaciones en ingresos federales del Fondo del Fomento Municipal </w:t>
            </w:r>
            <w:r w:rsidR="003E7687" w:rsidRPr="006C59FB">
              <w:rPr>
                <w:lang w:eastAsia="es-MX"/>
              </w:rPr>
              <w:t xml:space="preserve">que </w:t>
            </w:r>
            <w:r w:rsidR="00C12367" w:rsidRPr="006C59FB">
              <w:rPr>
                <w:lang w:eastAsia="es-MX"/>
              </w:rPr>
              <w:t>le corresponden al Municipio de Zapopan, Jalisco,</w:t>
            </w:r>
            <w:r w:rsidR="00E81301" w:rsidRPr="006C59FB">
              <w:rPr>
                <w:lang w:eastAsia="es-MX"/>
              </w:rPr>
              <w:t xml:space="preserve"> </w:t>
            </w:r>
            <w:r w:rsidR="003E7687" w:rsidRPr="006C59FB">
              <w:rPr>
                <w:lang w:eastAsia="es-MX"/>
              </w:rPr>
              <w:t xml:space="preserve">con </w:t>
            </w:r>
            <w:r w:rsidR="00E81301" w:rsidRPr="006C59FB">
              <w:rPr>
                <w:lang w:eastAsia="es-MX"/>
              </w:rPr>
              <w:t>vige</w:t>
            </w:r>
            <w:r w:rsidR="003E7687" w:rsidRPr="006C59FB">
              <w:rPr>
                <w:lang w:eastAsia="es-MX"/>
              </w:rPr>
              <w:t>ncia</w:t>
            </w:r>
            <w:r w:rsidR="00E81301" w:rsidRPr="006C59FB">
              <w:rPr>
                <w:lang w:eastAsia="es-MX"/>
              </w:rPr>
              <w:t xml:space="preserve"> a partir del </w:t>
            </w:r>
            <w:r w:rsidR="003A487A" w:rsidRPr="006C59FB">
              <w:rPr>
                <w:lang w:eastAsia="es-MX"/>
              </w:rPr>
              <w:t>09</w:t>
            </w:r>
            <w:r w:rsidR="00F6461C" w:rsidRPr="006C59FB">
              <w:rPr>
                <w:lang w:eastAsia="es-MX"/>
              </w:rPr>
              <w:t xml:space="preserve"> de </w:t>
            </w:r>
            <w:r w:rsidR="00A51536" w:rsidRPr="006C59FB">
              <w:rPr>
                <w:lang w:eastAsia="es-MX"/>
              </w:rPr>
              <w:t>diciembre</w:t>
            </w:r>
            <w:r w:rsidR="00F6461C" w:rsidRPr="006C59FB">
              <w:rPr>
                <w:lang w:eastAsia="es-MX"/>
              </w:rPr>
              <w:t xml:space="preserve"> del 2019</w:t>
            </w:r>
            <w:r w:rsidRPr="006C59FB">
              <w:rPr>
                <w:lang w:eastAsia="es-MX"/>
              </w:rPr>
              <w:t xml:space="preserve"> es la siguiente</w:t>
            </w:r>
            <w:r w:rsidR="00E81301" w:rsidRPr="006C59FB">
              <w:rPr>
                <w:lang w:eastAsia="es-MX"/>
              </w:rPr>
              <w:t>:</w:t>
            </w:r>
          </w:p>
          <w:tbl>
            <w:tblPr>
              <w:tblW w:w="8838" w:type="dxa"/>
              <w:tblLayout w:type="fixed"/>
              <w:tblCellMar>
                <w:left w:w="70" w:type="dxa"/>
                <w:right w:w="70" w:type="dxa"/>
              </w:tblCellMar>
              <w:tblLook w:val="0000" w:firstRow="0" w:lastRow="0" w:firstColumn="0" w:lastColumn="0" w:noHBand="0" w:noVBand="0"/>
            </w:tblPr>
            <w:tblGrid>
              <w:gridCol w:w="2632"/>
              <w:gridCol w:w="6206"/>
            </w:tblGrid>
            <w:tr w:rsidR="009C51D2" w:rsidRPr="00A51536" w14:paraId="0045B4D2" w14:textId="77777777" w:rsidTr="006C59FB">
              <w:trPr>
                <w:trHeight w:val="292"/>
              </w:trPr>
              <w:tc>
                <w:tcPr>
                  <w:tcW w:w="5000" w:type="pct"/>
                  <w:gridSpan w:val="2"/>
                  <w:tcBorders>
                    <w:top w:val="single" w:sz="6" w:space="0" w:color="auto"/>
                    <w:left w:val="single" w:sz="6" w:space="0" w:color="auto"/>
                    <w:bottom w:val="single" w:sz="6" w:space="0" w:color="auto"/>
                    <w:right w:val="single" w:sz="6" w:space="0" w:color="auto"/>
                  </w:tcBorders>
                  <w:vAlign w:val="center"/>
                </w:tcPr>
                <w:p w14:paraId="6193DB02" w14:textId="77777777" w:rsidR="009C51D2" w:rsidRPr="00A51536" w:rsidRDefault="009C51D2" w:rsidP="00A02A63">
                  <w:pPr>
                    <w:spacing w:after="0"/>
                    <w:jc w:val="center"/>
                    <w:rPr>
                      <w:b/>
                      <w:bCs/>
                      <w:color w:val="000000"/>
                      <w:lang w:eastAsia="es-MX"/>
                    </w:rPr>
                  </w:pPr>
                  <w:r w:rsidRPr="00A51536">
                    <w:rPr>
                      <w:b/>
                      <w:bCs/>
                      <w:color w:val="000000"/>
                      <w:lang w:eastAsia="es-MX"/>
                    </w:rPr>
                    <w:t xml:space="preserve">Crédito con </w:t>
                  </w:r>
                  <w:r w:rsidRPr="00A51536">
                    <w:rPr>
                      <w:b/>
                      <w:color w:val="000000"/>
                      <w:lang w:eastAsia="es-MX"/>
                    </w:rPr>
                    <w:t>el Banco Nacional de Obras y Servi</w:t>
                  </w:r>
                  <w:r w:rsidR="00F736A9" w:rsidRPr="00A51536">
                    <w:rPr>
                      <w:b/>
                      <w:color w:val="000000"/>
                      <w:lang w:eastAsia="es-MX"/>
                    </w:rPr>
                    <w:t>cios Públicos S.N.C. (BANOBRAS)</w:t>
                  </w:r>
                </w:p>
              </w:tc>
            </w:tr>
            <w:tr w:rsidR="009C51D2" w:rsidRPr="00A51536" w14:paraId="1EEAFBC9" w14:textId="77777777" w:rsidTr="006C59FB">
              <w:trPr>
                <w:trHeight w:val="261"/>
              </w:trPr>
              <w:tc>
                <w:tcPr>
                  <w:tcW w:w="1489" w:type="pct"/>
                  <w:tcBorders>
                    <w:top w:val="nil"/>
                    <w:left w:val="single" w:sz="6" w:space="0" w:color="auto"/>
                    <w:bottom w:val="single" w:sz="6" w:space="0" w:color="auto"/>
                    <w:right w:val="single" w:sz="6" w:space="0" w:color="auto"/>
                  </w:tcBorders>
                  <w:vAlign w:val="center"/>
                </w:tcPr>
                <w:p w14:paraId="0D368EA5" w14:textId="77777777" w:rsidR="009C51D2" w:rsidRPr="00A51536" w:rsidRDefault="009C51D2" w:rsidP="00A02A63">
                  <w:pPr>
                    <w:spacing w:after="0"/>
                    <w:jc w:val="both"/>
                    <w:rPr>
                      <w:color w:val="000000"/>
                      <w:lang w:eastAsia="es-MX"/>
                    </w:rPr>
                  </w:pPr>
                  <w:r w:rsidRPr="00A51536">
                    <w:rPr>
                      <w:color w:val="000000"/>
                      <w:lang w:eastAsia="es-MX"/>
                    </w:rPr>
                    <w:t>Responsable de la Autorización</w:t>
                  </w:r>
                </w:p>
              </w:tc>
              <w:tc>
                <w:tcPr>
                  <w:tcW w:w="3511" w:type="pct"/>
                  <w:tcBorders>
                    <w:top w:val="nil"/>
                    <w:left w:val="nil"/>
                    <w:bottom w:val="single" w:sz="6" w:space="0" w:color="auto"/>
                    <w:right w:val="single" w:sz="6" w:space="0" w:color="auto"/>
                  </w:tcBorders>
                  <w:vAlign w:val="center"/>
                </w:tcPr>
                <w:p w14:paraId="010B05D2" w14:textId="77777777" w:rsidR="009C51D2" w:rsidRPr="00A51536" w:rsidRDefault="009C51D2" w:rsidP="00A02A63">
                  <w:pPr>
                    <w:spacing w:after="0"/>
                    <w:jc w:val="both"/>
                    <w:rPr>
                      <w:color w:val="000000"/>
                      <w:lang w:eastAsia="es-MX"/>
                    </w:rPr>
                  </w:pPr>
                  <w:r w:rsidRPr="00A51536">
                    <w:rPr>
                      <w:color w:val="000000"/>
                      <w:lang w:eastAsia="es-MX"/>
                    </w:rPr>
                    <w:t>H. Ayuntamiento de Zapopan, Administración 2018-2021.</w:t>
                  </w:r>
                </w:p>
              </w:tc>
            </w:tr>
            <w:tr w:rsidR="009C51D2" w:rsidRPr="00A51536" w14:paraId="123946F1" w14:textId="77777777" w:rsidTr="006C59FB">
              <w:trPr>
                <w:trHeight w:val="261"/>
              </w:trPr>
              <w:tc>
                <w:tcPr>
                  <w:tcW w:w="1489" w:type="pct"/>
                  <w:tcBorders>
                    <w:top w:val="nil"/>
                    <w:left w:val="single" w:sz="6" w:space="0" w:color="auto"/>
                    <w:bottom w:val="single" w:sz="6" w:space="0" w:color="auto"/>
                    <w:right w:val="single" w:sz="6" w:space="0" w:color="auto"/>
                  </w:tcBorders>
                  <w:vAlign w:val="center"/>
                </w:tcPr>
                <w:p w14:paraId="37CA0293" w14:textId="77777777" w:rsidR="009C51D2" w:rsidRPr="00A51536" w:rsidRDefault="009C51D2" w:rsidP="00A02A63">
                  <w:pPr>
                    <w:spacing w:after="0"/>
                    <w:jc w:val="both"/>
                    <w:rPr>
                      <w:color w:val="000000"/>
                      <w:lang w:eastAsia="es-MX"/>
                    </w:rPr>
                  </w:pPr>
                  <w:r w:rsidRPr="00A51536">
                    <w:rPr>
                      <w:color w:val="000000"/>
                      <w:lang w:eastAsia="es-MX"/>
                    </w:rPr>
                    <w:t>Fecha de contratación</w:t>
                  </w:r>
                </w:p>
              </w:tc>
              <w:tc>
                <w:tcPr>
                  <w:tcW w:w="3511" w:type="pct"/>
                  <w:tcBorders>
                    <w:top w:val="nil"/>
                    <w:left w:val="nil"/>
                    <w:bottom w:val="single" w:sz="6" w:space="0" w:color="auto"/>
                    <w:right w:val="single" w:sz="6" w:space="0" w:color="auto"/>
                  </w:tcBorders>
                  <w:vAlign w:val="center"/>
                </w:tcPr>
                <w:p w14:paraId="5BD19476" w14:textId="77777777" w:rsidR="009C51D2" w:rsidRPr="00A51536" w:rsidRDefault="00C12367" w:rsidP="00A02A63">
                  <w:pPr>
                    <w:spacing w:after="0"/>
                    <w:jc w:val="both"/>
                    <w:rPr>
                      <w:color w:val="000000"/>
                      <w:lang w:eastAsia="es-MX"/>
                    </w:rPr>
                  </w:pPr>
                  <w:r w:rsidRPr="00A51536">
                    <w:rPr>
                      <w:color w:val="000000"/>
                      <w:lang w:eastAsia="es-MX"/>
                    </w:rPr>
                    <w:t xml:space="preserve">04 de </w:t>
                  </w:r>
                  <w:r w:rsidR="00453A75" w:rsidRPr="00A51536">
                    <w:rPr>
                      <w:color w:val="000000"/>
                      <w:lang w:eastAsia="es-MX"/>
                    </w:rPr>
                    <w:t>d</w:t>
                  </w:r>
                  <w:r w:rsidRPr="00A51536">
                    <w:rPr>
                      <w:color w:val="000000"/>
                      <w:lang w:eastAsia="es-MX"/>
                    </w:rPr>
                    <w:t>iciembre del 2019, con plazos de disposición hasta de 12 meses</w:t>
                  </w:r>
                </w:p>
              </w:tc>
            </w:tr>
            <w:tr w:rsidR="009C51D2" w:rsidRPr="00A51536" w14:paraId="2C740386" w14:textId="77777777" w:rsidTr="006C59FB">
              <w:trPr>
                <w:trHeight w:val="277"/>
              </w:trPr>
              <w:tc>
                <w:tcPr>
                  <w:tcW w:w="1489" w:type="pct"/>
                  <w:tcBorders>
                    <w:top w:val="nil"/>
                    <w:left w:val="single" w:sz="6" w:space="0" w:color="auto"/>
                    <w:bottom w:val="single" w:sz="6" w:space="0" w:color="auto"/>
                    <w:right w:val="single" w:sz="6" w:space="0" w:color="auto"/>
                  </w:tcBorders>
                  <w:vAlign w:val="center"/>
                </w:tcPr>
                <w:p w14:paraId="3A633762" w14:textId="77777777" w:rsidR="009C51D2" w:rsidRPr="00A51536" w:rsidRDefault="009C51D2" w:rsidP="00A02A63">
                  <w:pPr>
                    <w:spacing w:after="0"/>
                    <w:jc w:val="both"/>
                    <w:rPr>
                      <w:color w:val="000000"/>
                      <w:lang w:eastAsia="es-MX"/>
                    </w:rPr>
                  </w:pPr>
                  <w:r w:rsidRPr="00A51536">
                    <w:rPr>
                      <w:color w:val="000000"/>
                      <w:lang w:eastAsia="es-MX"/>
                    </w:rPr>
                    <w:t>Monto del crédito</w:t>
                  </w:r>
                </w:p>
              </w:tc>
              <w:tc>
                <w:tcPr>
                  <w:tcW w:w="3511" w:type="pct"/>
                  <w:tcBorders>
                    <w:top w:val="nil"/>
                    <w:left w:val="nil"/>
                    <w:bottom w:val="single" w:sz="6" w:space="0" w:color="auto"/>
                    <w:right w:val="single" w:sz="6" w:space="0" w:color="auto"/>
                  </w:tcBorders>
                  <w:vAlign w:val="center"/>
                </w:tcPr>
                <w:p w14:paraId="0B508E69" w14:textId="77777777" w:rsidR="009C51D2" w:rsidRPr="00A51536" w:rsidRDefault="00F6461C" w:rsidP="00A02A63">
                  <w:pPr>
                    <w:spacing w:after="0"/>
                    <w:jc w:val="both"/>
                    <w:rPr>
                      <w:color w:val="000000"/>
                      <w:lang w:eastAsia="es-MX"/>
                    </w:rPr>
                  </w:pPr>
                  <w:r w:rsidRPr="00A51536">
                    <w:rPr>
                      <w:color w:val="000000"/>
                      <w:lang w:eastAsia="es-MX"/>
                    </w:rPr>
                    <w:t>Hasta</w:t>
                  </w:r>
                  <w:r w:rsidR="009C51D2" w:rsidRPr="00A51536">
                    <w:rPr>
                      <w:color w:val="000000"/>
                      <w:lang w:eastAsia="es-MX"/>
                    </w:rPr>
                    <w:t xml:space="preserve"> $300,000</w:t>
                  </w:r>
                  <w:r w:rsidRPr="00A51536">
                    <w:rPr>
                      <w:color w:val="000000"/>
                      <w:lang w:eastAsia="es-MX"/>
                    </w:rPr>
                    <w:t>,000</w:t>
                  </w:r>
                  <w:r w:rsidR="009C51D2" w:rsidRPr="00A51536">
                    <w:rPr>
                      <w:color w:val="000000"/>
                      <w:lang w:eastAsia="es-MX"/>
                    </w:rPr>
                    <w:t>.00 (Trescientos millones de pesos 007100 Moneda Nacional</w:t>
                  </w:r>
                  <w:r w:rsidR="00FE2FE5" w:rsidRPr="00A51536">
                    <w:rPr>
                      <w:color w:val="000000"/>
                      <w:lang w:eastAsia="es-MX"/>
                    </w:rPr>
                    <w:t>)</w:t>
                  </w:r>
                  <w:r w:rsidR="009C51D2" w:rsidRPr="00A51536">
                    <w:rPr>
                      <w:color w:val="000000"/>
                      <w:lang w:eastAsia="es-MX"/>
                    </w:rPr>
                    <w:t xml:space="preserve"> </w:t>
                  </w:r>
                </w:p>
              </w:tc>
            </w:tr>
            <w:tr w:rsidR="009C51D2" w:rsidRPr="00A51536" w14:paraId="1289CA1B" w14:textId="77777777" w:rsidTr="006C59FB">
              <w:trPr>
                <w:trHeight w:val="277"/>
              </w:trPr>
              <w:tc>
                <w:tcPr>
                  <w:tcW w:w="1489" w:type="pct"/>
                  <w:tcBorders>
                    <w:top w:val="nil"/>
                    <w:left w:val="single" w:sz="6" w:space="0" w:color="auto"/>
                    <w:bottom w:val="single" w:sz="6" w:space="0" w:color="auto"/>
                    <w:right w:val="single" w:sz="6" w:space="0" w:color="auto"/>
                  </w:tcBorders>
                  <w:vAlign w:val="center"/>
                </w:tcPr>
                <w:p w14:paraId="79B7FA0D" w14:textId="77777777" w:rsidR="009C51D2" w:rsidRPr="00A51536" w:rsidRDefault="009C51D2" w:rsidP="00A02A63">
                  <w:pPr>
                    <w:spacing w:after="0"/>
                    <w:jc w:val="both"/>
                    <w:rPr>
                      <w:color w:val="000000"/>
                      <w:lang w:eastAsia="es-MX"/>
                    </w:rPr>
                  </w:pPr>
                  <w:r w:rsidRPr="00A51536">
                    <w:rPr>
                      <w:color w:val="000000"/>
                      <w:lang w:eastAsia="es-MX"/>
                    </w:rPr>
                    <w:t>Tasa de interés</w:t>
                  </w:r>
                </w:p>
              </w:tc>
              <w:tc>
                <w:tcPr>
                  <w:tcW w:w="3511" w:type="pct"/>
                  <w:tcBorders>
                    <w:top w:val="nil"/>
                    <w:left w:val="nil"/>
                    <w:bottom w:val="single" w:sz="6" w:space="0" w:color="auto"/>
                    <w:right w:val="single" w:sz="6" w:space="0" w:color="auto"/>
                  </w:tcBorders>
                  <w:vAlign w:val="center"/>
                </w:tcPr>
                <w:p w14:paraId="2200C4C7" w14:textId="77777777" w:rsidR="009C51D2" w:rsidRPr="00A51536" w:rsidRDefault="00FE2FE5" w:rsidP="00A02A63">
                  <w:pPr>
                    <w:spacing w:after="0"/>
                    <w:jc w:val="both"/>
                    <w:rPr>
                      <w:color w:val="000000"/>
                      <w:lang w:eastAsia="es-MX"/>
                    </w:rPr>
                  </w:pPr>
                  <w:r w:rsidRPr="00A51536">
                    <w:rPr>
                      <w:color w:val="000000"/>
                      <w:lang w:eastAsia="es-MX"/>
                    </w:rPr>
                    <w:t>Tasa variable TIIE + 1.31 puntos porcentuales</w:t>
                  </w:r>
                  <w:r w:rsidR="006D0E96" w:rsidRPr="00A51536">
                    <w:rPr>
                      <w:color w:val="000000"/>
                      <w:lang w:eastAsia="es-MX"/>
                    </w:rPr>
                    <w:t xml:space="preserve"> sin comisión por apertura</w:t>
                  </w:r>
                </w:p>
              </w:tc>
            </w:tr>
            <w:tr w:rsidR="009C51D2" w:rsidRPr="00A51536" w14:paraId="745B10A6" w14:textId="77777777" w:rsidTr="006C59FB">
              <w:trPr>
                <w:trHeight w:val="292"/>
              </w:trPr>
              <w:tc>
                <w:tcPr>
                  <w:tcW w:w="1489" w:type="pct"/>
                  <w:tcBorders>
                    <w:top w:val="nil"/>
                    <w:left w:val="single" w:sz="6" w:space="0" w:color="auto"/>
                    <w:bottom w:val="single" w:sz="6" w:space="0" w:color="auto"/>
                    <w:right w:val="single" w:sz="6" w:space="0" w:color="auto"/>
                  </w:tcBorders>
                  <w:vAlign w:val="center"/>
                </w:tcPr>
                <w:p w14:paraId="4B1B300B" w14:textId="77777777" w:rsidR="009C51D2" w:rsidRPr="00A51536" w:rsidRDefault="009C51D2" w:rsidP="00A02A63">
                  <w:pPr>
                    <w:spacing w:after="0"/>
                    <w:jc w:val="both"/>
                    <w:rPr>
                      <w:color w:val="000000"/>
                      <w:lang w:eastAsia="es-MX"/>
                    </w:rPr>
                  </w:pPr>
                  <w:r w:rsidRPr="00A51536">
                    <w:rPr>
                      <w:color w:val="000000"/>
                      <w:lang w:eastAsia="es-MX"/>
                    </w:rPr>
                    <w:t>Monto total amortizable</w:t>
                  </w:r>
                </w:p>
              </w:tc>
              <w:tc>
                <w:tcPr>
                  <w:tcW w:w="3511" w:type="pct"/>
                  <w:tcBorders>
                    <w:top w:val="nil"/>
                    <w:left w:val="nil"/>
                    <w:bottom w:val="single" w:sz="6" w:space="0" w:color="auto"/>
                    <w:right w:val="single" w:sz="6" w:space="0" w:color="auto"/>
                  </w:tcBorders>
                  <w:vAlign w:val="center"/>
                </w:tcPr>
                <w:p w14:paraId="6D0F05B6" w14:textId="77777777" w:rsidR="009C51D2" w:rsidRPr="00A51536" w:rsidRDefault="00F6461C" w:rsidP="00A02A63">
                  <w:pPr>
                    <w:spacing w:after="0"/>
                    <w:jc w:val="both"/>
                    <w:rPr>
                      <w:color w:val="000000"/>
                      <w:lang w:eastAsia="es-MX"/>
                    </w:rPr>
                  </w:pPr>
                  <w:r w:rsidRPr="00A51536">
                    <w:rPr>
                      <w:color w:val="000000"/>
                      <w:lang w:eastAsia="es-MX"/>
                    </w:rPr>
                    <w:t xml:space="preserve">Aplicado a un plazo de amortización máximo del crédito </w:t>
                  </w:r>
                </w:p>
              </w:tc>
            </w:tr>
            <w:tr w:rsidR="009C51D2" w:rsidRPr="00A51536" w14:paraId="0DCA91D0" w14:textId="77777777" w:rsidTr="006C59FB">
              <w:trPr>
                <w:trHeight w:val="277"/>
              </w:trPr>
              <w:tc>
                <w:tcPr>
                  <w:tcW w:w="1489" w:type="pct"/>
                  <w:tcBorders>
                    <w:top w:val="nil"/>
                    <w:left w:val="single" w:sz="6" w:space="0" w:color="auto"/>
                    <w:bottom w:val="single" w:sz="6" w:space="0" w:color="auto"/>
                    <w:right w:val="single" w:sz="6" w:space="0" w:color="auto"/>
                  </w:tcBorders>
                  <w:vAlign w:val="center"/>
                </w:tcPr>
                <w:p w14:paraId="649AA21E" w14:textId="77777777" w:rsidR="009C51D2" w:rsidRPr="00A51536" w:rsidRDefault="009C51D2" w:rsidP="00A02A63">
                  <w:pPr>
                    <w:spacing w:after="0"/>
                    <w:jc w:val="both"/>
                    <w:rPr>
                      <w:color w:val="000000"/>
                      <w:lang w:eastAsia="es-MX"/>
                    </w:rPr>
                  </w:pPr>
                  <w:r w:rsidRPr="00A51536">
                    <w:rPr>
                      <w:color w:val="000000"/>
                      <w:lang w:eastAsia="es-MX"/>
                    </w:rPr>
                    <w:t>Plazo de vencimiento</w:t>
                  </w:r>
                </w:p>
              </w:tc>
              <w:tc>
                <w:tcPr>
                  <w:tcW w:w="3511" w:type="pct"/>
                  <w:tcBorders>
                    <w:top w:val="nil"/>
                    <w:left w:val="nil"/>
                    <w:bottom w:val="single" w:sz="6" w:space="0" w:color="auto"/>
                    <w:right w:val="single" w:sz="6" w:space="0" w:color="auto"/>
                  </w:tcBorders>
                  <w:vAlign w:val="center"/>
                </w:tcPr>
                <w:p w14:paraId="1B4A55CE" w14:textId="77777777" w:rsidR="009C51D2" w:rsidRPr="00A51536" w:rsidRDefault="009C51D2" w:rsidP="00A02A63">
                  <w:pPr>
                    <w:spacing w:after="0"/>
                    <w:jc w:val="both"/>
                    <w:rPr>
                      <w:color w:val="000000"/>
                      <w:lang w:eastAsia="es-MX"/>
                    </w:rPr>
                  </w:pPr>
                  <w:r w:rsidRPr="00A51536">
                    <w:rPr>
                      <w:color w:val="000000"/>
                      <w:lang w:eastAsia="es-MX"/>
                    </w:rPr>
                    <w:t xml:space="preserve">180 </w:t>
                  </w:r>
                  <w:r w:rsidR="00453A75" w:rsidRPr="00A51536">
                    <w:rPr>
                      <w:color w:val="000000"/>
                      <w:lang w:eastAsia="es-MX"/>
                    </w:rPr>
                    <w:t>m</w:t>
                  </w:r>
                  <w:r w:rsidRPr="00A51536">
                    <w:rPr>
                      <w:color w:val="000000"/>
                      <w:lang w:eastAsia="es-MX"/>
                    </w:rPr>
                    <w:t>eses</w:t>
                  </w:r>
                </w:p>
              </w:tc>
            </w:tr>
            <w:tr w:rsidR="009C51D2" w:rsidRPr="00A51536" w14:paraId="4E7B7EB0" w14:textId="77777777" w:rsidTr="006C59FB">
              <w:trPr>
                <w:trHeight w:val="292"/>
              </w:trPr>
              <w:tc>
                <w:tcPr>
                  <w:tcW w:w="1489" w:type="pct"/>
                  <w:tcBorders>
                    <w:top w:val="nil"/>
                    <w:left w:val="single" w:sz="6" w:space="0" w:color="auto"/>
                    <w:bottom w:val="single" w:sz="6" w:space="0" w:color="auto"/>
                    <w:right w:val="single" w:sz="6" w:space="0" w:color="auto"/>
                  </w:tcBorders>
                  <w:vAlign w:val="center"/>
                </w:tcPr>
                <w:p w14:paraId="2F48811A" w14:textId="77777777" w:rsidR="009C51D2" w:rsidRPr="00A51536" w:rsidRDefault="009C51D2" w:rsidP="00A02A63">
                  <w:pPr>
                    <w:spacing w:after="0"/>
                    <w:jc w:val="both"/>
                    <w:rPr>
                      <w:color w:val="000000"/>
                      <w:lang w:eastAsia="es-MX"/>
                    </w:rPr>
                  </w:pPr>
                  <w:r w:rsidRPr="00A51536">
                    <w:rPr>
                      <w:color w:val="000000"/>
                      <w:lang w:eastAsia="es-MX"/>
                    </w:rPr>
                    <w:t>Institución crediticia</w:t>
                  </w:r>
                </w:p>
              </w:tc>
              <w:tc>
                <w:tcPr>
                  <w:tcW w:w="3511" w:type="pct"/>
                  <w:tcBorders>
                    <w:top w:val="nil"/>
                    <w:left w:val="nil"/>
                    <w:bottom w:val="single" w:sz="6" w:space="0" w:color="auto"/>
                    <w:right w:val="single" w:sz="6" w:space="0" w:color="auto"/>
                  </w:tcBorders>
                  <w:vAlign w:val="center"/>
                </w:tcPr>
                <w:p w14:paraId="0B8D8031" w14:textId="77777777" w:rsidR="009C51D2" w:rsidRPr="00A51536" w:rsidRDefault="00DE3F3C" w:rsidP="00A02A63">
                  <w:pPr>
                    <w:spacing w:after="0"/>
                    <w:jc w:val="both"/>
                    <w:rPr>
                      <w:color w:val="000000"/>
                      <w:lang w:eastAsia="es-MX"/>
                    </w:rPr>
                  </w:pPr>
                  <w:r w:rsidRPr="00A51536">
                    <w:rPr>
                      <w:color w:val="000000"/>
                      <w:lang w:eastAsia="es-MX"/>
                    </w:rPr>
                    <w:t>Banco Nacional de Obras y Servicios Públicos S.N.C. (BANOBRAS),</w:t>
                  </w:r>
                </w:p>
              </w:tc>
            </w:tr>
            <w:tr w:rsidR="009C51D2" w:rsidRPr="00A51536" w14:paraId="58D6C9FF" w14:textId="77777777" w:rsidTr="006C59FB">
              <w:trPr>
                <w:trHeight w:val="1152"/>
              </w:trPr>
              <w:tc>
                <w:tcPr>
                  <w:tcW w:w="1489" w:type="pct"/>
                  <w:tcBorders>
                    <w:top w:val="nil"/>
                    <w:left w:val="single" w:sz="6" w:space="0" w:color="auto"/>
                    <w:bottom w:val="single" w:sz="6" w:space="0" w:color="auto"/>
                    <w:right w:val="single" w:sz="6" w:space="0" w:color="auto"/>
                  </w:tcBorders>
                  <w:vAlign w:val="center"/>
                </w:tcPr>
                <w:p w14:paraId="72B80A30" w14:textId="77777777" w:rsidR="009C51D2" w:rsidRPr="00A51536" w:rsidRDefault="009C51D2" w:rsidP="00A02A63">
                  <w:pPr>
                    <w:spacing w:after="0"/>
                    <w:jc w:val="both"/>
                    <w:rPr>
                      <w:color w:val="000000"/>
                      <w:lang w:eastAsia="es-MX"/>
                    </w:rPr>
                  </w:pPr>
                  <w:r w:rsidRPr="00A51536">
                    <w:rPr>
                      <w:color w:val="000000"/>
                      <w:lang w:eastAsia="es-MX"/>
                    </w:rPr>
                    <w:t>Objeto de aplicación</w:t>
                  </w:r>
                </w:p>
              </w:tc>
              <w:tc>
                <w:tcPr>
                  <w:tcW w:w="3511" w:type="pct"/>
                  <w:tcBorders>
                    <w:top w:val="nil"/>
                    <w:left w:val="nil"/>
                    <w:bottom w:val="single" w:sz="6" w:space="0" w:color="auto"/>
                    <w:right w:val="single" w:sz="6" w:space="0" w:color="auto"/>
                  </w:tcBorders>
                  <w:vAlign w:val="center"/>
                </w:tcPr>
                <w:p w14:paraId="196BD4FE" w14:textId="77777777" w:rsidR="009C51D2" w:rsidRPr="00A51536" w:rsidRDefault="00F6461C" w:rsidP="00A02A63">
                  <w:pPr>
                    <w:spacing w:after="0"/>
                    <w:jc w:val="both"/>
                    <w:rPr>
                      <w:color w:val="000000"/>
                      <w:lang w:eastAsia="es-MX"/>
                    </w:rPr>
                  </w:pPr>
                  <w:r w:rsidRPr="00A51536">
                    <w:rPr>
                      <w:color w:val="000000"/>
                      <w:lang w:eastAsia="es-MX"/>
                    </w:rPr>
                    <w:t>Contratación</w:t>
                  </w:r>
                  <w:r w:rsidR="00DE3F3C" w:rsidRPr="00A51536">
                    <w:rPr>
                      <w:color w:val="000000"/>
                      <w:lang w:eastAsia="es-MX"/>
                    </w:rPr>
                    <w:t xml:space="preserve"> de un crédito</w:t>
                  </w:r>
                  <w:r w:rsidR="006D0E96" w:rsidRPr="00A51536">
                    <w:rPr>
                      <w:color w:val="000000"/>
                      <w:lang w:eastAsia="es-MX"/>
                    </w:rPr>
                    <w:t xml:space="preserve"> simple</w:t>
                  </w:r>
                  <w:r w:rsidRPr="00A51536">
                    <w:rPr>
                      <w:color w:val="000000"/>
                      <w:lang w:eastAsia="es-MX"/>
                    </w:rPr>
                    <w:t xml:space="preserve"> hasta por la cantidad de $300’000,000.00 (trescientos millones de pesos 00/100 m.n.), con el Banco Nacional de Obras y Servicios Públicos S.N.C. (BANOBRAS), para ser utilizados en proyectos de inversión pública productiva.</w:t>
                  </w:r>
                </w:p>
              </w:tc>
            </w:tr>
            <w:tr w:rsidR="009C51D2" w:rsidRPr="006C59FB" w14:paraId="649E886E" w14:textId="77777777" w:rsidTr="00E73D5C">
              <w:trPr>
                <w:trHeight w:val="277"/>
              </w:trPr>
              <w:tc>
                <w:tcPr>
                  <w:tcW w:w="1489" w:type="pct"/>
                  <w:tcBorders>
                    <w:top w:val="single" w:sz="6" w:space="0" w:color="auto"/>
                    <w:left w:val="single" w:sz="6" w:space="0" w:color="auto"/>
                    <w:bottom w:val="single" w:sz="4" w:space="0" w:color="auto"/>
                    <w:right w:val="single" w:sz="6" w:space="0" w:color="auto"/>
                  </w:tcBorders>
                  <w:vAlign w:val="center"/>
                </w:tcPr>
                <w:p w14:paraId="43101E8B" w14:textId="0764EAE2" w:rsidR="009C51D2" w:rsidRPr="00A51536" w:rsidRDefault="009C51D2" w:rsidP="00A02A63">
                  <w:pPr>
                    <w:spacing w:after="0"/>
                    <w:jc w:val="both"/>
                    <w:rPr>
                      <w:bCs/>
                      <w:color w:val="000000"/>
                      <w:lang w:eastAsia="es-MX"/>
                    </w:rPr>
                  </w:pPr>
                  <w:r w:rsidRPr="00A51536">
                    <w:rPr>
                      <w:bCs/>
                      <w:color w:val="000000"/>
                      <w:lang w:eastAsia="es-MX"/>
                    </w:rPr>
                    <w:t xml:space="preserve">Saldo al </w:t>
                  </w:r>
                  <w:r w:rsidR="00E73D5C">
                    <w:rPr>
                      <w:bCs/>
                      <w:color w:val="000000"/>
                      <w:lang w:eastAsia="es-MX"/>
                    </w:rPr>
                    <w:t>30</w:t>
                  </w:r>
                  <w:r w:rsidR="00EE544D" w:rsidRPr="00A51536">
                    <w:rPr>
                      <w:bCs/>
                      <w:color w:val="000000"/>
                      <w:lang w:eastAsia="es-MX"/>
                    </w:rPr>
                    <w:t xml:space="preserve"> de </w:t>
                  </w:r>
                  <w:r w:rsidR="00E73D5C">
                    <w:rPr>
                      <w:bCs/>
                      <w:color w:val="000000"/>
                      <w:lang w:eastAsia="es-MX"/>
                    </w:rPr>
                    <w:t>junio</w:t>
                  </w:r>
                  <w:r w:rsidR="0085098A" w:rsidRPr="00A51536">
                    <w:rPr>
                      <w:bCs/>
                      <w:color w:val="000000"/>
                      <w:lang w:eastAsia="es-MX"/>
                    </w:rPr>
                    <w:t xml:space="preserve"> </w:t>
                  </w:r>
                  <w:r w:rsidR="00EE544D" w:rsidRPr="00A51536">
                    <w:rPr>
                      <w:bCs/>
                      <w:color w:val="000000"/>
                      <w:lang w:eastAsia="es-MX"/>
                    </w:rPr>
                    <w:t>202</w:t>
                  </w:r>
                  <w:r w:rsidR="00E73D5C">
                    <w:rPr>
                      <w:bCs/>
                      <w:color w:val="000000"/>
                      <w:lang w:eastAsia="es-MX"/>
                    </w:rPr>
                    <w:t>3</w:t>
                  </w:r>
                </w:p>
              </w:tc>
              <w:tc>
                <w:tcPr>
                  <w:tcW w:w="3511" w:type="pct"/>
                  <w:tcBorders>
                    <w:top w:val="single" w:sz="6" w:space="0" w:color="auto"/>
                    <w:left w:val="nil"/>
                    <w:bottom w:val="single" w:sz="4" w:space="0" w:color="auto"/>
                    <w:right w:val="single" w:sz="6" w:space="0" w:color="auto"/>
                  </w:tcBorders>
                  <w:shd w:val="clear" w:color="auto" w:fill="auto"/>
                  <w:vAlign w:val="center"/>
                </w:tcPr>
                <w:p w14:paraId="5C708B58" w14:textId="21F00705" w:rsidR="009C51D2" w:rsidRPr="00E73D5C" w:rsidRDefault="00E73D5C" w:rsidP="00A02A63">
                  <w:pPr>
                    <w:spacing w:after="0"/>
                    <w:jc w:val="both"/>
                    <w:rPr>
                      <w:bCs/>
                      <w:color w:val="000000"/>
                      <w:lang w:eastAsia="es-MX"/>
                    </w:rPr>
                  </w:pPr>
                  <w:r w:rsidRPr="00E73D5C">
                    <w:t>$282,324,681.79</w:t>
                  </w:r>
                </w:p>
              </w:tc>
            </w:tr>
          </w:tbl>
          <w:p w14:paraId="30E4DF85" w14:textId="77777777" w:rsidR="00453A75" w:rsidRPr="006C59FB" w:rsidRDefault="00453A75" w:rsidP="00A51536">
            <w:pPr>
              <w:spacing w:after="0"/>
              <w:jc w:val="both"/>
              <w:rPr>
                <w:color w:val="000000"/>
                <w:lang w:eastAsia="es-MX"/>
              </w:rPr>
            </w:pPr>
          </w:p>
          <w:p w14:paraId="575FB8F2" w14:textId="77777777" w:rsidR="00E81301" w:rsidRPr="00A03A43" w:rsidRDefault="00E81301" w:rsidP="00A51536">
            <w:pPr>
              <w:pStyle w:val="Subttulo"/>
              <w:numPr>
                <w:ilvl w:val="0"/>
                <w:numId w:val="26"/>
              </w:numPr>
              <w:spacing w:after="0"/>
              <w:rPr>
                <w:rStyle w:val="nfasissutil"/>
              </w:rPr>
            </w:pPr>
            <w:r w:rsidRPr="00A03A43">
              <w:rPr>
                <w:rStyle w:val="nfasissutil"/>
              </w:rPr>
              <w:t>Calificaciones Otorgadas:</w:t>
            </w:r>
          </w:p>
          <w:p w14:paraId="0E470EA2" w14:textId="77777777" w:rsidR="00E81301" w:rsidRPr="006C59FB" w:rsidRDefault="00E81301" w:rsidP="00A51536">
            <w:pPr>
              <w:spacing w:after="0" w:line="360" w:lineRule="auto"/>
              <w:jc w:val="both"/>
              <w:rPr>
                <w:lang w:eastAsia="es-MX"/>
              </w:rPr>
            </w:pPr>
            <w:r w:rsidRPr="006C59FB">
              <w:rPr>
                <w:lang w:eastAsia="es-MX"/>
              </w:rPr>
              <w:t>El Municipio de Zapopan figura entre los Municipios mejor calificados del país, por su alta recaudación de ingresos propios como lo reflejan las calificaciones otorgada</w:t>
            </w:r>
            <w:r w:rsidR="008536F3" w:rsidRPr="006C59FB">
              <w:rPr>
                <w:lang w:eastAsia="es-MX"/>
              </w:rPr>
              <w:t>s</w:t>
            </w:r>
            <w:r w:rsidRPr="006C59FB">
              <w:rPr>
                <w:lang w:eastAsia="es-MX"/>
              </w:rPr>
              <w:t xml:space="preserve"> por las agenc</w:t>
            </w:r>
            <w:r w:rsidR="008536F3" w:rsidRPr="006C59FB">
              <w:rPr>
                <w:lang w:eastAsia="es-MX"/>
              </w:rPr>
              <w:t>ias calificadoras que el pasado</w:t>
            </w:r>
            <w:r w:rsidRPr="006C59FB">
              <w:rPr>
                <w:lang w:eastAsia="es-MX"/>
              </w:rPr>
              <w:t xml:space="preserve"> mes </w:t>
            </w:r>
            <w:r w:rsidR="008536F3" w:rsidRPr="006C59FB">
              <w:rPr>
                <w:lang w:eastAsia="es-MX"/>
              </w:rPr>
              <w:t>de agosto</w:t>
            </w:r>
            <w:r w:rsidR="00A97853" w:rsidRPr="006C59FB">
              <w:rPr>
                <w:lang w:eastAsia="es-MX"/>
              </w:rPr>
              <w:t xml:space="preserve"> de 2022</w:t>
            </w:r>
            <w:r w:rsidR="009121DA" w:rsidRPr="006C59FB">
              <w:rPr>
                <w:lang w:eastAsia="es-MX"/>
              </w:rPr>
              <w:t xml:space="preserve"> </w:t>
            </w:r>
            <w:r w:rsidR="008536F3" w:rsidRPr="006C59FB">
              <w:rPr>
                <w:lang w:eastAsia="es-MX"/>
              </w:rPr>
              <w:t xml:space="preserve">calificaron al Municipio de Zapopan de acuerdo a las siguientes calificadoras:  </w:t>
            </w:r>
            <w:r w:rsidRPr="006C59FB">
              <w:rPr>
                <w:lang w:eastAsia="es-MX"/>
              </w:rPr>
              <w:t xml:space="preserve">Moody´s de México </w:t>
            </w:r>
            <w:r w:rsidR="00A97853" w:rsidRPr="006C59FB">
              <w:rPr>
                <w:lang w:eastAsia="es-MX"/>
              </w:rPr>
              <w:t>AA.</w:t>
            </w:r>
            <w:r w:rsidR="002A0736" w:rsidRPr="006C59FB">
              <w:rPr>
                <w:lang w:eastAsia="es-MX"/>
              </w:rPr>
              <w:t>mx</w:t>
            </w:r>
            <w:r w:rsidR="00A97853" w:rsidRPr="006C59FB">
              <w:rPr>
                <w:lang w:eastAsia="es-MX"/>
              </w:rPr>
              <w:t xml:space="preserve">, perspectiva estable y </w:t>
            </w:r>
            <w:r w:rsidRPr="006C59FB">
              <w:rPr>
                <w:lang w:eastAsia="es-MX"/>
              </w:rPr>
              <w:t>Fit</w:t>
            </w:r>
            <w:r w:rsidR="008536F3" w:rsidRPr="006C59FB">
              <w:rPr>
                <w:lang w:eastAsia="es-MX"/>
              </w:rPr>
              <w:t>ch</w:t>
            </w:r>
            <w:r w:rsidR="0085098A" w:rsidRPr="006C59FB">
              <w:rPr>
                <w:lang w:eastAsia="es-MX"/>
              </w:rPr>
              <w:t xml:space="preserve"> R</w:t>
            </w:r>
            <w:r w:rsidR="008536F3" w:rsidRPr="006C59FB">
              <w:rPr>
                <w:lang w:eastAsia="es-MX"/>
              </w:rPr>
              <w:t>ati</w:t>
            </w:r>
            <w:r w:rsidR="00FB3B2E" w:rsidRPr="006C59FB">
              <w:rPr>
                <w:lang w:eastAsia="es-MX"/>
              </w:rPr>
              <w:t>ngs, otorg</w:t>
            </w:r>
            <w:r w:rsidR="008536F3" w:rsidRPr="006C59FB">
              <w:rPr>
                <w:lang w:eastAsia="es-MX"/>
              </w:rPr>
              <w:t>ó</w:t>
            </w:r>
            <w:r w:rsidRPr="006C59FB">
              <w:rPr>
                <w:lang w:eastAsia="es-MX"/>
              </w:rPr>
              <w:t xml:space="preserve"> la calificación de </w:t>
            </w:r>
            <w:r w:rsidR="00CD6A7C" w:rsidRPr="006C59FB">
              <w:rPr>
                <w:lang w:eastAsia="es-MX"/>
              </w:rPr>
              <w:t>BBB</w:t>
            </w:r>
            <w:r w:rsidR="00F252E5" w:rsidRPr="006C59FB">
              <w:rPr>
                <w:lang w:eastAsia="es-MX"/>
              </w:rPr>
              <w:t>-</w:t>
            </w:r>
            <w:r w:rsidR="00A97853" w:rsidRPr="006C59FB">
              <w:rPr>
                <w:lang w:eastAsia="es-MX"/>
              </w:rPr>
              <w:t>/</w:t>
            </w:r>
            <w:proofErr w:type="spellStart"/>
            <w:r w:rsidR="00A97853" w:rsidRPr="006C59FB">
              <w:rPr>
                <w:lang w:eastAsia="es-MX"/>
              </w:rPr>
              <w:t>AAAmx</w:t>
            </w:r>
            <w:proofErr w:type="spellEnd"/>
            <w:r w:rsidR="0085098A" w:rsidRPr="006C59FB">
              <w:rPr>
                <w:lang w:eastAsia="es-MX"/>
              </w:rPr>
              <w:t xml:space="preserve"> </w:t>
            </w:r>
            <w:r w:rsidRPr="006C59FB">
              <w:rPr>
                <w:lang w:eastAsia="es-MX"/>
              </w:rPr>
              <w:t>perspectiva estable</w:t>
            </w:r>
            <w:r w:rsidRPr="006C59FB">
              <w:rPr>
                <w:bCs/>
                <w:lang w:eastAsia="es-MX"/>
              </w:rPr>
              <w:t xml:space="preserve">,  </w:t>
            </w:r>
            <w:r w:rsidRPr="006C59FB">
              <w:rPr>
                <w:lang w:eastAsia="es-MX"/>
              </w:rPr>
              <w:t xml:space="preserve">respectivamente además ambas calificadoras, calificaron el crédito a largo plazo que tiene el municipio con </w:t>
            </w:r>
            <w:r w:rsidR="002A0736" w:rsidRPr="006C59FB">
              <w:rPr>
                <w:lang w:eastAsia="es-MX"/>
              </w:rPr>
              <w:t>perspectiva estable.</w:t>
            </w:r>
          </w:p>
          <w:p w14:paraId="570913D9" w14:textId="77777777" w:rsidR="00F736A9" w:rsidRDefault="00F736A9" w:rsidP="00A51536">
            <w:pPr>
              <w:spacing w:after="0"/>
              <w:jc w:val="both"/>
              <w:rPr>
                <w:lang w:eastAsia="es-MX"/>
              </w:rPr>
            </w:pPr>
          </w:p>
          <w:p w14:paraId="124B521D" w14:textId="77777777" w:rsidR="00A51536" w:rsidRDefault="00A51536" w:rsidP="00A51536">
            <w:pPr>
              <w:spacing w:after="0"/>
              <w:jc w:val="both"/>
              <w:rPr>
                <w:lang w:eastAsia="es-MX"/>
              </w:rPr>
            </w:pPr>
          </w:p>
          <w:p w14:paraId="6E99D3B0" w14:textId="77777777" w:rsidR="00A51536" w:rsidRDefault="00A51536" w:rsidP="00A51536">
            <w:pPr>
              <w:spacing w:after="0"/>
              <w:jc w:val="both"/>
              <w:rPr>
                <w:lang w:eastAsia="es-MX"/>
              </w:rPr>
            </w:pPr>
          </w:p>
          <w:p w14:paraId="1E5AE6C6" w14:textId="77777777" w:rsidR="00A51536" w:rsidRDefault="00A51536" w:rsidP="00A51536">
            <w:pPr>
              <w:spacing w:after="0"/>
              <w:jc w:val="both"/>
              <w:rPr>
                <w:lang w:eastAsia="es-MX"/>
              </w:rPr>
            </w:pPr>
          </w:p>
          <w:p w14:paraId="2053F9B2" w14:textId="77777777" w:rsidR="00A51536" w:rsidRDefault="00A51536" w:rsidP="00A51536">
            <w:pPr>
              <w:spacing w:after="0"/>
              <w:jc w:val="both"/>
              <w:rPr>
                <w:lang w:eastAsia="es-MX"/>
              </w:rPr>
            </w:pPr>
          </w:p>
          <w:p w14:paraId="509EEB3E" w14:textId="77777777" w:rsidR="00A51536" w:rsidRDefault="00A51536" w:rsidP="00A51536">
            <w:pPr>
              <w:spacing w:after="0"/>
              <w:jc w:val="both"/>
              <w:rPr>
                <w:lang w:eastAsia="es-MX"/>
              </w:rPr>
            </w:pPr>
          </w:p>
          <w:p w14:paraId="7BB39198" w14:textId="77777777" w:rsidR="00A51536" w:rsidRPr="006C59FB" w:rsidRDefault="00A51536" w:rsidP="00A51536">
            <w:pPr>
              <w:spacing w:after="0"/>
              <w:jc w:val="both"/>
              <w:rPr>
                <w:lang w:eastAsia="es-MX"/>
              </w:rPr>
            </w:pPr>
          </w:p>
          <w:p w14:paraId="32E57FE3" w14:textId="77777777" w:rsidR="00E81301" w:rsidRPr="00A03A43" w:rsidRDefault="00E81301" w:rsidP="00A51536">
            <w:pPr>
              <w:pStyle w:val="Prrafodelista"/>
              <w:numPr>
                <w:ilvl w:val="0"/>
                <w:numId w:val="26"/>
              </w:numPr>
              <w:spacing w:after="0"/>
              <w:jc w:val="both"/>
              <w:rPr>
                <w:rStyle w:val="nfasissutil"/>
              </w:rPr>
            </w:pPr>
            <w:r w:rsidRPr="00A03A43">
              <w:rPr>
                <w:rStyle w:val="nfasissutil"/>
              </w:rPr>
              <w:t>Proceso de Mejora</w:t>
            </w:r>
          </w:p>
          <w:p w14:paraId="2967F11F" w14:textId="77777777" w:rsidR="00E81301" w:rsidRPr="006C59FB" w:rsidRDefault="00E81301" w:rsidP="00A51536">
            <w:pPr>
              <w:spacing w:after="0" w:line="360" w:lineRule="auto"/>
              <w:jc w:val="both"/>
              <w:rPr>
                <w:lang w:eastAsia="es-MX"/>
              </w:rPr>
            </w:pPr>
            <w:r w:rsidRPr="006C59FB">
              <w:rPr>
                <w:lang w:eastAsia="es-MX"/>
              </w:rPr>
              <w:t xml:space="preserve">Actualmente </w:t>
            </w:r>
            <w:r w:rsidR="00963EB4" w:rsidRPr="006C59FB">
              <w:rPr>
                <w:lang w:eastAsia="es-MX"/>
              </w:rPr>
              <w:t>se cuenta con un Sistema de Armonización Contable</w:t>
            </w:r>
            <w:r w:rsidR="006C27AB" w:rsidRPr="006C59FB">
              <w:rPr>
                <w:lang w:eastAsia="es-MX"/>
              </w:rPr>
              <w:t xml:space="preserve">, </w:t>
            </w:r>
            <w:r w:rsidRPr="006C59FB">
              <w:rPr>
                <w:lang w:eastAsia="es-MX"/>
              </w:rPr>
              <w:t xml:space="preserve">con el </w:t>
            </w:r>
            <w:r w:rsidR="00963EB4" w:rsidRPr="006C59FB">
              <w:rPr>
                <w:lang w:eastAsia="es-MX"/>
              </w:rPr>
              <w:t>cual</w:t>
            </w:r>
            <w:r w:rsidRPr="006C59FB">
              <w:rPr>
                <w:lang w:eastAsia="es-MX"/>
              </w:rPr>
              <w:t xml:space="preserve"> se ha logrado mejorar todos los procesos para el registro y control del presupuesto en sus diferentes etapas presupuestales del Gasto e Ingresos, con la finalidad de continuar dando cumplimiento con los requerimientos de la Ley General de Contabilidad Gubernamental y demás normativas.</w:t>
            </w:r>
          </w:p>
          <w:p w14:paraId="1399FAF2" w14:textId="77777777" w:rsidR="00F736A9" w:rsidRPr="006C59FB" w:rsidRDefault="00F736A9" w:rsidP="00A51536">
            <w:pPr>
              <w:spacing w:after="0"/>
              <w:jc w:val="both"/>
              <w:rPr>
                <w:lang w:eastAsia="es-MX"/>
              </w:rPr>
            </w:pPr>
          </w:p>
          <w:p w14:paraId="153CD0BC" w14:textId="77777777" w:rsidR="00E81301" w:rsidRPr="00A03A43" w:rsidRDefault="00E81301" w:rsidP="00A51536">
            <w:pPr>
              <w:pStyle w:val="Prrafodelista"/>
              <w:numPr>
                <w:ilvl w:val="0"/>
                <w:numId w:val="26"/>
              </w:numPr>
              <w:spacing w:after="0"/>
              <w:jc w:val="both"/>
              <w:rPr>
                <w:rStyle w:val="nfasissutil"/>
              </w:rPr>
            </w:pPr>
            <w:r w:rsidRPr="00A03A43">
              <w:rPr>
                <w:rStyle w:val="nfasissutil"/>
              </w:rPr>
              <w:t>Información por Segmentos</w:t>
            </w:r>
          </w:p>
          <w:p w14:paraId="59208653" w14:textId="77777777" w:rsidR="00291637" w:rsidRPr="006C59FB" w:rsidRDefault="00E81301" w:rsidP="00A51536">
            <w:pPr>
              <w:spacing w:after="0" w:line="360" w:lineRule="auto"/>
              <w:jc w:val="both"/>
              <w:rPr>
                <w:lang w:eastAsia="es-MX"/>
              </w:rPr>
            </w:pPr>
            <w:r w:rsidRPr="006C59FB">
              <w:rPr>
                <w:lang w:eastAsia="es-MX"/>
              </w:rPr>
              <w:t>No se considera necesario presentar información financiera segmentada, adicional a la que se prese</w:t>
            </w:r>
            <w:r w:rsidR="00963EB4" w:rsidRPr="006C59FB">
              <w:rPr>
                <w:lang w:eastAsia="es-MX"/>
              </w:rPr>
              <w:t>nta en los Estados Financieros.</w:t>
            </w:r>
          </w:p>
          <w:p w14:paraId="4FCE09AC" w14:textId="77777777" w:rsidR="00A03A43" w:rsidRPr="006C59FB" w:rsidRDefault="00A03A43" w:rsidP="00A51536">
            <w:pPr>
              <w:spacing w:after="0"/>
              <w:jc w:val="both"/>
              <w:rPr>
                <w:lang w:eastAsia="es-MX"/>
              </w:rPr>
            </w:pPr>
          </w:p>
          <w:p w14:paraId="2E55FE6D" w14:textId="77777777" w:rsidR="00E81301" w:rsidRPr="00A03A43" w:rsidRDefault="00E81301" w:rsidP="00A51536">
            <w:pPr>
              <w:pStyle w:val="Prrafodelista"/>
              <w:numPr>
                <w:ilvl w:val="0"/>
                <w:numId w:val="26"/>
              </w:numPr>
              <w:spacing w:after="0"/>
              <w:jc w:val="both"/>
              <w:rPr>
                <w:rStyle w:val="nfasissutil"/>
              </w:rPr>
            </w:pPr>
            <w:r w:rsidRPr="00A03A43">
              <w:rPr>
                <w:rStyle w:val="nfasissutil"/>
              </w:rPr>
              <w:t>Eventos Posteriores al Cierre</w:t>
            </w:r>
          </w:p>
          <w:p w14:paraId="340E6780" w14:textId="77777777" w:rsidR="00F736A9" w:rsidRPr="006C59FB" w:rsidRDefault="00E81301" w:rsidP="00A51536">
            <w:pPr>
              <w:spacing w:after="0" w:line="360" w:lineRule="auto"/>
              <w:jc w:val="both"/>
              <w:rPr>
                <w:lang w:eastAsia="es-MX"/>
              </w:rPr>
            </w:pPr>
            <w:r w:rsidRPr="006C59FB">
              <w:rPr>
                <w:lang w:eastAsia="es-MX"/>
              </w:rPr>
              <w:t xml:space="preserve">No se tiene eventos posteriores al cierre que influyan o impacten en la toma de decisiones financieras y operativas.  </w:t>
            </w:r>
          </w:p>
          <w:p w14:paraId="27A5736A" w14:textId="77777777" w:rsidR="007A3C6F" w:rsidRPr="006C59FB" w:rsidRDefault="007A3C6F" w:rsidP="00A51536">
            <w:pPr>
              <w:spacing w:after="0"/>
              <w:jc w:val="both"/>
              <w:rPr>
                <w:bCs/>
                <w:lang w:eastAsia="es-MX"/>
              </w:rPr>
            </w:pPr>
          </w:p>
          <w:p w14:paraId="11498227" w14:textId="77777777" w:rsidR="00E81301" w:rsidRPr="00A03A43" w:rsidRDefault="00E81301" w:rsidP="00A51536">
            <w:pPr>
              <w:pStyle w:val="Prrafodelista"/>
              <w:numPr>
                <w:ilvl w:val="0"/>
                <w:numId w:val="26"/>
              </w:numPr>
              <w:spacing w:after="0"/>
              <w:jc w:val="both"/>
              <w:rPr>
                <w:rStyle w:val="nfasissutil"/>
              </w:rPr>
            </w:pPr>
            <w:r w:rsidRPr="00A03A43">
              <w:rPr>
                <w:rStyle w:val="nfasissutil"/>
              </w:rPr>
              <w:t>Partes Relacionadas</w:t>
            </w:r>
          </w:p>
          <w:p w14:paraId="4C12C113" w14:textId="77777777" w:rsidR="00E81301" w:rsidRPr="006C59FB" w:rsidRDefault="00E81301" w:rsidP="00A51536">
            <w:pPr>
              <w:spacing w:after="0" w:line="360" w:lineRule="auto"/>
              <w:jc w:val="both"/>
              <w:rPr>
                <w:lang w:eastAsia="es-MX"/>
              </w:rPr>
            </w:pPr>
            <w:r w:rsidRPr="006C59FB">
              <w:rPr>
                <w:lang w:eastAsia="es-MX"/>
              </w:rPr>
              <w:t xml:space="preserve">No se tiene partes relacionadas que influyan significativamente en su </w:t>
            </w:r>
            <w:r w:rsidR="00F736A9" w:rsidRPr="006C59FB">
              <w:rPr>
                <w:lang w:eastAsia="es-MX"/>
              </w:rPr>
              <w:t xml:space="preserve">toma de decisiones </w:t>
            </w:r>
            <w:r w:rsidR="00F252E5" w:rsidRPr="006C59FB">
              <w:rPr>
                <w:lang w:eastAsia="es-MX"/>
              </w:rPr>
              <w:t xml:space="preserve">operativas y </w:t>
            </w:r>
            <w:r w:rsidRPr="006C59FB">
              <w:rPr>
                <w:lang w:eastAsia="es-MX"/>
              </w:rPr>
              <w:t>financieras.</w:t>
            </w:r>
          </w:p>
          <w:p w14:paraId="0685C482" w14:textId="77777777" w:rsidR="00F736A9" w:rsidRPr="006C59FB" w:rsidRDefault="00F736A9" w:rsidP="00A51536">
            <w:pPr>
              <w:spacing w:after="0"/>
              <w:jc w:val="both"/>
              <w:rPr>
                <w:lang w:eastAsia="es-MX"/>
              </w:rPr>
            </w:pPr>
          </w:p>
          <w:p w14:paraId="54D05118" w14:textId="77777777" w:rsidR="00E81301" w:rsidRPr="00A03A43" w:rsidRDefault="00E81301" w:rsidP="00A51536">
            <w:pPr>
              <w:pStyle w:val="Prrafodelista"/>
              <w:numPr>
                <w:ilvl w:val="0"/>
                <w:numId w:val="26"/>
              </w:numPr>
              <w:spacing w:after="0"/>
              <w:jc w:val="both"/>
              <w:rPr>
                <w:rStyle w:val="nfasissutil"/>
              </w:rPr>
            </w:pPr>
            <w:r w:rsidRPr="00A03A43">
              <w:rPr>
                <w:rStyle w:val="nfasissutil"/>
              </w:rPr>
              <w:t>Responsabilidad Sobre la Presentación Razonable de la Información Contable:</w:t>
            </w:r>
          </w:p>
          <w:p w14:paraId="56C3E374" w14:textId="77777777" w:rsidR="007A3C6F" w:rsidRPr="006C59FB" w:rsidRDefault="005B1AB1" w:rsidP="00A51536">
            <w:pPr>
              <w:spacing w:after="0" w:line="360" w:lineRule="auto"/>
              <w:jc w:val="both"/>
              <w:rPr>
                <w:lang w:eastAsia="es-MX"/>
              </w:rPr>
            </w:pPr>
            <w:r w:rsidRPr="006C59FB">
              <w:rPr>
                <w:lang w:eastAsia="es-MX"/>
              </w:rPr>
              <w:t>Bajo protesta de decir verdad declaramos que los Estados Financieros y sus notas, son razonablemente correctos y son responsabilidad del emisor.</w:t>
            </w:r>
          </w:p>
          <w:p w14:paraId="33F9BBE6" w14:textId="77777777" w:rsidR="00F252E5" w:rsidRPr="006C59FB" w:rsidRDefault="00F252E5" w:rsidP="00A51536">
            <w:pPr>
              <w:spacing w:after="0"/>
              <w:jc w:val="both"/>
              <w:rPr>
                <w:lang w:eastAsia="es-MX"/>
              </w:rPr>
            </w:pPr>
          </w:p>
          <w:p w14:paraId="0EAA2978" w14:textId="4206FE6D" w:rsidR="0067543A" w:rsidRPr="006C59FB" w:rsidRDefault="00E81301" w:rsidP="00A51536">
            <w:pPr>
              <w:spacing w:after="0" w:line="360" w:lineRule="auto"/>
              <w:jc w:val="both"/>
              <w:rPr>
                <w:lang w:eastAsia="es-MX"/>
              </w:rPr>
            </w:pPr>
            <w:r w:rsidRPr="006C59FB">
              <w:rPr>
                <w:lang w:eastAsia="es-MX"/>
              </w:rPr>
              <w:t xml:space="preserve">Las Notas descritas son parte integral de los Estados Financieros del Municipio de Zapopan, Jal., al </w:t>
            </w:r>
            <w:r w:rsidR="004D4DF3">
              <w:rPr>
                <w:lang w:eastAsia="es-MX"/>
              </w:rPr>
              <w:t>30</w:t>
            </w:r>
            <w:r w:rsidR="00913C4A" w:rsidRPr="006C59FB">
              <w:rPr>
                <w:lang w:eastAsia="es-MX"/>
              </w:rPr>
              <w:t xml:space="preserve"> de </w:t>
            </w:r>
            <w:r w:rsidR="004D4DF3">
              <w:rPr>
                <w:lang w:eastAsia="es-MX"/>
              </w:rPr>
              <w:t>junio</w:t>
            </w:r>
            <w:r w:rsidR="00F736A9" w:rsidRPr="006C59FB">
              <w:rPr>
                <w:lang w:eastAsia="es-MX"/>
              </w:rPr>
              <w:t xml:space="preserve"> </w:t>
            </w:r>
            <w:r w:rsidR="006C59FB" w:rsidRPr="006C59FB">
              <w:rPr>
                <w:lang w:eastAsia="es-MX"/>
              </w:rPr>
              <w:t>2023</w:t>
            </w:r>
            <w:r w:rsidR="00F252E5" w:rsidRPr="006C59FB">
              <w:rPr>
                <w:lang w:eastAsia="es-MX"/>
              </w:rPr>
              <w:t>.</w:t>
            </w:r>
          </w:p>
        </w:tc>
      </w:tr>
      <w:tr w:rsidR="0095369E" w14:paraId="6096DA0E" w14:textId="77777777" w:rsidTr="0095369E">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31" w:type="pct"/>
          <w:jc w:val="center"/>
        </w:trPr>
        <w:tc>
          <w:tcPr>
            <w:tcW w:w="2060" w:type="pct"/>
            <w:tcBorders>
              <w:top w:val="single" w:sz="4" w:space="0" w:color="FFFFFF"/>
              <w:left w:val="single" w:sz="4" w:space="0" w:color="FFFFFF"/>
              <w:bottom w:val="single" w:sz="4" w:space="0" w:color="FFFFFF"/>
              <w:right w:val="single" w:sz="4" w:space="0" w:color="FFFFFF"/>
            </w:tcBorders>
            <w:vAlign w:val="center"/>
            <w:hideMark/>
          </w:tcPr>
          <w:p w14:paraId="565DFE43" w14:textId="3A3B26A8" w:rsidR="0095369E" w:rsidRDefault="0095369E">
            <w:pPr>
              <w:rPr>
                <w:rFonts w:ascii="Arial" w:hAnsi="Arial" w:cs="Arial"/>
                <w:sz w:val="20"/>
              </w:rPr>
            </w:pPr>
            <w:r>
              <w:rPr>
                <w:noProof/>
              </w:rPr>
              <w:lastRenderedPageBreak/>
              <mc:AlternateContent>
                <mc:Choice Requires="wps">
                  <w:drawing>
                    <wp:anchor distT="0" distB="0" distL="114300" distR="114300" simplePos="0" relativeHeight="251657216" behindDoc="0" locked="0" layoutInCell="1" allowOverlap="1" wp14:anchorId="09194458" wp14:editId="4D470FEF">
                      <wp:simplePos x="0" y="0"/>
                      <wp:positionH relativeFrom="column">
                        <wp:posOffset>-22860</wp:posOffset>
                      </wp:positionH>
                      <wp:positionV relativeFrom="paragraph">
                        <wp:posOffset>259715</wp:posOffset>
                      </wp:positionV>
                      <wp:extent cx="2295525" cy="0"/>
                      <wp:effectExtent l="0" t="0" r="0" b="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BD6B1" id="_x0000_t32" coordsize="21600,21600" o:spt="32" o:oned="t" path="m,l21600,21600e" filled="f">
                      <v:path arrowok="t" fillok="f" o:connecttype="none"/>
                      <o:lock v:ext="edit" shapetype="t"/>
                    </v:shapetype>
                    <v:shape id="Conector recto de flecha 14" o:spid="_x0000_s1026" type="#_x0000_t32" style="position:absolute;margin-left:-1.8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"/>
                  </w:pict>
                </mc:Fallback>
              </mc:AlternateContent>
            </w:r>
          </w:p>
        </w:tc>
        <w:tc>
          <w:tcPr>
            <w:tcW w:w="689" w:type="pct"/>
            <w:tcBorders>
              <w:top w:val="single" w:sz="4" w:space="0" w:color="FFFFFF"/>
              <w:left w:val="single" w:sz="4" w:space="0" w:color="FFFFFF"/>
              <w:bottom w:val="single" w:sz="4" w:space="0" w:color="FFFFFF"/>
              <w:right w:val="single" w:sz="4" w:space="0" w:color="FFFFFF"/>
            </w:tcBorders>
            <w:vAlign w:val="center"/>
          </w:tcPr>
          <w:p w14:paraId="6EF03318" w14:textId="77777777" w:rsidR="0095369E" w:rsidRDefault="0095369E">
            <w:pPr>
              <w:rPr>
                <w:rFonts w:ascii="Arial" w:hAnsi="Arial" w:cs="Arial"/>
                <w:sz w:val="20"/>
              </w:rPr>
            </w:pPr>
          </w:p>
        </w:tc>
        <w:tc>
          <w:tcPr>
            <w:tcW w:w="2119" w:type="pct"/>
            <w:tcBorders>
              <w:top w:val="single" w:sz="4" w:space="0" w:color="FFFFFF"/>
              <w:left w:val="single" w:sz="4" w:space="0" w:color="FFFFFF"/>
              <w:bottom w:val="single" w:sz="4" w:space="0" w:color="FFFFFF"/>
              <w:right w:val="single" w:sz="4" w:space="0" w:color="FFFFFF"/>
            </w:tcBorders>
            <w:vAlign w:val="center"/>
            <w:hideMark/>
          </w:tcPr>
          <w:p w14:paraId="0FE508FF" w14:textId="1605E4E4" w:rsidR="0095369E" w:rsidRDefault="0095369E">
            <w:pPr>
              <w:rPr>
                <w:rFonts w:ascii="Arial" w:hAnsi="Arial" w:cs="Arial"/>
                <w:sz w:val="20"/>
              </w:rPr>
            </w:pPr>
            <w:r>
              <w:rPr>
                <w:noProof/>
              </w:rPr>
              <mc:AlternateContent>
                <mc:Choice Requires="wps">
                  <w:drawing>
                    <wp:anchor distT="0" distB="0" distL="114300" distR="114300" simplePos="0" relativeHeight="251658240" behindDoc="0" locked="0" layoutInCell="1" allowOverlap="1" wp14:anchorId="295FAC34" wp14:editId="266F4710">
                      <wp:simplePos x="0" y="0"/>
                      <wp:positionH relativeFrom="column">
                        <wp:posOffset>15240</wp:posOffset>
                      </wp:positionH>
                      <wp:positionV relativeFrom="paragraph">
                        <wp:posOffset>259715</wp:posOffset>
                      </wp:positionV>
                      <wp:extent cx="2295525" cy="0"/>
                      <wp:effectExtent l="0" t="0" r="0" b="0"/>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E902F" id="Conector recto de flecha 13"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"/>
                  </w:pict>
                </mc:Fallback>
              </mc:AlternateContent>
            </w:r>
          </w:p>
        </w:tc>
      </w:tr>
      <w:tr w:rsidR="0095369E" w14:paraId="646025D2" w14:textId="77777777" w:rsidTr="0095369E">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31" w:type="pct"/>
          <w:jc w:val="center"/>
        </w:trPr>
        <w:tc>
          <w:tcPr>
            <w:tcW w:w="2060" w:type="pct"/>
            <w:tcBorders>
              <w:top w:val="single" w:sz="4" w:space="0" w:color="FFFFFF"/>
              <w:left w:val="single" w:sz="4" w:space="0" w:color="FFFFFF"/>
              <w:bottom w:val="single" w:sz="4" w:space="0" w:color="FFFFFF"/>
              <w:right w:val="single" w:sz="4" w:space="0" w:color="FFFFFF"/>
            </w:tcBorders>
            <w:vAlign w:val="center"/>
            <w:hideMark/>
          </w:tcPr>
          <w:p w14:paraId="16382680" w14:textId="77777777" w:rsidR="0095369E" w:rsidRDefault="0095369E">
            <w:pPr>
              <w:jc w:val="center"/>
              <w:rPr>
                <w:rFonts w:ascii="Arial" w:hAnsi="Arial" w:cs="Arial"/>
                <w:b/>
                <w:sz w:val="20"/>
              </w:rPr>
            </w:pPr>
            <w:bookmarkStart w:id="3" w:name="firma1"/>
            <w:bookmarkEnd w:id="3"/>
            <w:r>
              <w:rPr>
                <w:rFonts w:ascii="Arial" w:hAnsi="Arial" w:cs="Arial"/>
                <w:b/>
                <w:sz w:val="20"/>
              </w:rPr>
              <w:t>JUAN JOSE FRANGIE SAADE</w:t>
            </w:r>
          </w:p>
          <w:p w14:paraId="0329C70F" w14:textId="77777777" w:rsidR="0095369E" w:rsidRDefault="0095369E">
            <w:pPr>
              <w:jc w:val="center"/>
              <w:rPr>
                <w:rFonts w:ascii="Arial" w:hAnsi="Arial" w:cs="Arial"/>
                <w:b/>
                <w:sz w:val="20"/>
              </w:rPr>
            </w:pPr>
            <w:bookmarkStart w:id="4" w:name="Cargo1"/>
            <w:bookmarkEnd w:id="4"/>
            <w:r>
              <w:rPr>
                <w:rFonts w:ascii="Arial" w:hAnsi="Arial" w:cs="Arial"/>
                <w:b/>
                <w:sz w:val="20"/>
              </w:rPr>
              <w:t>PRESIDENTE MUNICIPAL</w:t>
            </w:r>
          </w:p>
        </w:tc>
        <w:tc>
          <w:tcPr>
            <w:tcW w:w="689" w:type="pct"/>
            <w:tcBorders>
              <w:top w:val="single" w:sz="4" w:space="0" w:color="FFFFFF"/>
              <w:left w:val="single" w:sz="4" w:space="0" w:color="FFFFFF"/>
              <w:bottom w:val="single" w:sz="4" w:space="0" w:color="FFFFFF"/>
              <w:right w:val="single" w:sz="4" w:space="0" w:color="FFFFFF"/>
            </w:tcBorders>
            <w:vAlign w:val="center"/>
          </w:tcPr>
          <w:p w14:paraId="74C633A8" w14:textId="77777777" w:rsidR="0095369E" w:rsidRDefault="0095369E">
            <w:pPr>
              <w:rPr>
                <w:rFonts w:ascii="Arial" w:hAnsi="Arial" w:cs="Arial"/>
                <w:sz w:val="20"/>
              </w:rPr>
            </w:pPr>
          </w:p>
        </w:tc>
        <w:tc>
          <w:tcPr>
            <w:tcW w:w="2119" w:type="pct"/>
            <w:tcBorders>
              <w:top w:val="single" w:sz="4" w:space="0" w:color="FFFFFF"/>
              <w:left w:val="single" w:sz="4" w:space="0" w:color="FFFFFF"/>
              <w:bottom w:val="single" w:sz="4" w:space="0" w:color="FFFFFF"/>
              <w:right w:val="single" w:sz="4" w:space="0" w:color="FFFFFF"/>
            </w:tcBorders>
            <w:vAlign w:val="center"/>
            <w:hideMark/>
          </w:tcPr>
          <w:p w14:paraId="72B8B07D" w14:textId="77777777" w:rsidR="0095369E" w:rsidRDefault="0095369E">
            <w:pPr>
              <w:jc w:val="center"/>
              <w:rPr>
                <w:rFonts w:ascii="Arial" w:hAnsi="Arial" w:cs="Arial"/>
                <w:b/>
                <w:sz w:val="20"/>
              </w:rPr>
            </w:pPr>
            <w:bookmarkStart w:id="5" w:name="firma2"/>
            <w:bookmarkEnd w:id="5"/>
            <w:r>
              <w:rPr>
                <w:rFonts w:ascii="Arial" w:hAnsi="Arial" w:cs="Arial"/>
                <w:b/>
                <w:sz w:val="20"/>
              </w:rPr>
              <w:t>DRA. ADRIANA ROMO LÓPEZ</w:t>
            </w:r>
          </w:p>
          <w:p w14:paraId="325790F0" w14:textId="77777777" w:rsidR="0095369E" w:rsidRDefault="0095369E">
            <w:pPr>
              <w:jc w:val="center"/>
              <w:rPr>
                <w:rFonts w:ascii="Arial" w:hAnsi="Arial" w:cs="Arial"/>
                <w:b/>
                <w:sz w:val="20"/>
              </w:rPr>
            </w:pPr>
            <w:bookmarkStart w:id="6" w:name="Cargo2"/>
            <w:bookmarkEnd w:id="6"/>
            <w:r>
              <w:rPr>
                <w:rFonts w:ascii="Arial" w:hAnsi="Arial" w:cs="Arial"/>
                <w:b/>
                <w:sz w:val="20"/>
              </w:rPr>
              <w:t>TESORERO MUNICIPAL</w:t>
            </w:r>
          </w:p>
        </w:tc>
      </w:tr>
    </w:tbl>
    <w:p w14:paraId="76841F5F" w14:textId="0A46C4EA" w:rsidR="0095369E" w:rsidRPr="0095369E" w:rsidRDefault="0095369E" w:rsidP="0095369E">
      <w:pPr>
        <w:jc w:val="center"/>
        <w:rPr>
          <w:rFonts w:ascii="C39HrP24DhTt" w:hAnsi="C39HrP24DhTt" w:cs="Arial"/>
          <w:sz w:val="44"/>
          <w:szCs w:val="44"/>
        </w:rPr>
      </w:pPr>
      <w:bookmarkStart w:id="7" w:name="codigo"/>
      <w:bookmarkEnd w:id="7"/>
      <w:r>
        <w:rPr>
          <w:rFonts w:ascii="C39HrP24DhTt" w:hAnsi="C39HrP24DhTt" w:cs="Arial"/>
          <w:sz w:val="44"/>
          <w:szCs w:val="44"/>
        </w:rPr>
        <w:t>ASEJ2023-14-12-07-2023-1</w:t>
      </w:r>
    </w:p>
    <w:p w14:paraId="192E5223" w14:textId="57FCFC3B" w:rsidR="008445F5" w:rsidRPr="006C59FB" w:rsidRDefault="0095369E" w:rsidP="0095369E">
      <w:r>
        <w:rPr>
          <w:rFonts w:ascii="Arial" w:hAnsi="Arial" w:cs="Arial"/>
          <w:sz w:val="24"/>
          <w:szCs w:val="24"/>
        </w:rPr>
        <w:t>Bajo protesta de decir verdad declaramos que los Estados Financieros y sus Notas son razonablemente correctos y responsabilidad del emisor.</w:t>
      </w:r>
    </w:p>
    <w:sectPr w:rsidR="008445F5" w:rsidRPr="006C59FB" w:rsidSect="008066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A8F30" w14:textId="77777777" w:rsidR="0040166E" w:rsidRDefault="0040166E" w:rsidP="008536F3">
      <w:pPr>
        <w:spacing w:after="0" w:line="240" w:lineRule="auto"/>
      </w:pPr>
      <w:r>
        <w:separator/>
      </w:r>
    </w:p>
  </w:endnote>
  <w:endnote w:type="continuationSeparator" w:id="0">
    <w:p w14:paraId="58E8E0C4" w14:textId="77777777" w:rsidR="0040166E" w:rsidRDefault="0040166E" w:rsidP="0085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39HrP24DhTt">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9D3C3" w14:textId="77777777" w:rsidR="0040166E" w:rsidRDefault="0040166E" w:rsidP="008536F3">
      <w:pPr>
        <w:spacing w:after="0" w:line="240" w:lineRule="auto"/>
      </w:pPr>
      <w:r>
        <w:separator/>
      </w:r>
    </w:p>
  </w:footnote>
  <w:footnote w:type="continuationSeparator" w:id="0">
    <w:p w14:paraId="379DD677" w14:textId="77777777" w:rsidR="0040166E" w:rsidRDefault="0040166E" w:rsidP="00853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C572F"/>
    <w:multiLevelType w:val="hybridMultilevel"/>
    <w:tmpl w:val="E45E7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2630E7"/>
    <w:multiLevelType w:val="hybridMultilevel"/>
    <w:tmpl w:val="BA109C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D3239A2"/>
    <w:multiLevelType w:val="hybridMultilevel"/>
    <w:tmpl w:val="73FC2F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8B2709"/>
    <w:multiLevelType w:val="hybridMultilevel"/>
    <w:tmpl w:val="568A67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FE6AB4"/>
    <w:multiLevelType w:val="hybridMultilevel"/>
    <w:tmpl w:val="C97AFD8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728693F"/>
    <w:multiLevelType w:val="hybridMultilevel"/>
    <w:tmpl w:val="BD562D90"/>
    <w:lvl w:ilvl="0" w:tplc="F8020B8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8B1594"/>
    <w:multiLevelType w:val="hybridMultilevel"/>
    <w:tmpl w:val="6D8C2B8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B812C6A"/>
    <w:multiLevelType w:val="hybridMultilevel"/>
    <w:tmpl w:val="1F8ECB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31F3064E"/>
    <w:multiLevelType w:val="hybridMultilevel"/>
    <w:tmpl w:val="DF30CD6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2DF55AC"/>
    <w:multiLevelType w:val="hybridMultilevel"/>
    <w:tmpl w:val="D4BA7E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43D489B"/>
    <w:multiLevelType w:val="hybridMultilevel"/>
    <w:tmpl w:val="553A0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BC1B04"/>
    <w:multiLevelType w:val="hybridMultilevel"/>
    <w:tmpl w:val="4C8AD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6D0646"/>
    <w:multiLevelType w:val="hybridMultilevel"/>
    <w:tmpl w:val="C3564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C42173"/>
    <w:multiLevelType w:val="hybridMultilevel"/>
    <w:tmpl w:val="47C259FC"/>
    <w:lvl w:ilvl="0" w:tplc="FAB830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17B4D76"/>
    <w:multiLevelType w:val="hybridMultilevel"/>
    <w:tmpl w:val="F39C6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8F32D6"/>
    <w:multiLevelType w:val="hybridMultilevel"/>
    <w:tmpl w:val="58B8F9F2"/>
    <w:lvl w:ilvl="0" w:tplc="0DB4F13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323185"/>
    <w:multiLevelType w:val="hybridMultilevel"/>
    <w:tmpl w:val="CC06BEE2"/>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7" w15:restartNumberingAfterBreak="0">
    <w:nsid w:val="4B1D6E3B"/>
    <w:multiLevelType w:val="hybridMultilevel"/>
    <w:tmpl w:val="43069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D003CFF"/>
    <w:multiLevelType w:val="hybridMultilevel"/>
    <w:tmpl w:val="61B85B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7638E8"/>
    <w:multiLevelType w:val="hybridMultilevel"/>
    <w:tmpl w:val="97FAD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D6C4489"/>
    <w:multiLevelType w:val="hybridMultilevel"/>
    <w:tmpl w:val="00FC2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DFB384E"/>
    <w:multiLevelType w:val="hybridMultilevel"/>
    <w:tmpl w:val="9F8AE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9C325A2"/>
    <w:multiLevelType w:val="hybridMultilevel"/>
    <w:tmpl w:val="357AED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D732C14"/>
    <w:multiLevelType w:val="hybridMultilevel"/>
    <w:tmpl w:val="DF4CE9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CB536C"/>
    <w:multiLevelType w:val="hybridMultilevel"/>
    <w:tmpl w:val="974A9ED4"/>
    <w:lvl w:ilvl="0" w:tplc="0DB4F134">
      <w:start w:val="1"/>
      <w:numFmt w:val="decimal"/>
      <w:lvlText w:val="%1"/>
      <w:lvlJc w:val="left"/>
      <w:pPr>
        <w:ind w:left="1065" w:hanging="705"/>
      </w:pPr>
      <w:rPr>
        <w:rFonts w:hint="default"/>
      </w:rPr>
    </w:lvl>
    <w:lvl w:ilvl="1" w:tplc="B01839C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36F4011"/>
    <w:multiLevelType w:val="hybridMultilevel"/>
    <w:tmpl w:val="218EB8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6"/>
  </w:num>
  <w:num w:numId="3">
    <w:abstractNumId w:val="19"/>
  </w:num>
  <w:num w:numId="4">
    <w:abstractNumId w:val="13"/>
  </w:num>
  <w:num w:numId="5">
    <w:abstractNumId w:val="21"/>
  </w:num>
  <w:num w:numId="6">
    <w:abstractNumId w:val="5"/>
  </w:num>
  <w:num w:numId="7">
    <w:abstractNumId w:val="14"/>
  </w:num>
  <w:num w:numId="8">
    <w:abstractNumId w:val="1"/>
  </w:num>
  <w:num w:numId="9">
    <w:abstractNumId w:val="11"/>
  </w:num>
  <w:num w:numId="10">
    <w:abstractNumId w:val="12"/>
  </w:num>
  <w:num w:numId="11">
    <w:abstractNumId w:val="18"/>
  </w:num>
  <w:num w:numId="12">
    <w:abstractNumId w:val="24"/>
  </w:num>
  <w:num w:numId="13">
    <w:abstractNumId w:val="9"/>
  </w:num>
  <w:num w:numId="14">
    <w:abstractNumId w:val="22"/>
  </w:num>
  <w:num w:numId="15">
    <w:abstractNumId w:val="10"/>
  </w:num>
  <w:num w:numId="16">
    <w:abstractNumId w:val="17"/>
  </w:num>
  <w:num w:numId="17">
    <w:abstractNumId w:val="2"/>
  </w:num>
  <w:num w:numId="18">
    <w:abstractNumId w:val="7"/>
  </w:num>
  <w:num w:numId="19">
    <w:abstractNumId w:val="23"/>
  </w:num>
  <w:num w:numId="20">
    <w:abstractNumId w:val="6"/>
  </w:num>
  <w:num w:numId="21">
    <w:abstractNumId w:val="25"/>
  </w:num>
  <w:num w:numId="22">
    <w:abstractNumId w:val="15"/>
  </w:num>
  <w:num w:numId="23">
    <w:abstractNumId w:val="8"/>
  </w:num>
  <w:num w:numId="24">
    <w:abstractNumId w:val="20"/>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83"/>
    <w:rsid w:val="000007EE"/>
    <w:rsid w:val="00001166"/>
    <w:rsid w:val="0001557D"/>
    <w:rsid w:val="00023BBD"/>
    <w:rsid w:val="0002638A"/>
    <w:rsid w:val="0003182E"/>
    <w:rsid w:val="000542F2"/>
    <w:rsid w:val="000551C0"/>
    <w:rsid w:val="00056E4A"/>
    <w:rsid w:val="000570AA"/>
    <w:rsid w:val="0006500B"/>
    <w:rsid w:val="00077AC7"/>
    <w:rsid w:val="00077CD4"/>
    <w:rsid w:val="00080875"/>
    <w:rsid w:val="0009560A"/>
    <w:rsid w:val="000964F2"/>
    <w:rsid w:val="000D7E06"/>
    <w:rsid w:val="000F5A44"/>
    <w:rsid w:val="000F7FD3"/>
    <w:rsid w:val="001175F5"/>
    <w:rsid w:val="001211E5"/>
    <w:rsid w:val="00186E55"/>
    <w:rsid w:val="001A468E"/>
    <w:rsid w:val="001D091D"/>
    <w:rsid w:val="001D3D49"/>
    <w:rsid w:val="001F30BD"/>
    <w:rsid w:val="001F34D7"/>
    <w:rsid w:val="001F64EE"/>
    <w:rsid w:val="00207A65"/>
    <w:rsid w:val="00215C85"/>
    <w:rsid w:val="00220D09"/>
    <w:rsid w:val="00235120"/>
    <w:rsid w:val="00243A14"/>
    <w:rsid w:val="00245F49"/>
    <w:rsid w:val="00265F04"/>
    <w:rsid w:val="0027564E"/>
    <w:rsid w:val="00291637"/>
    <w:rsid w:val="002A0736"/>
    <w:rsid w:val="002A199D"/>
    <w:rsid w:val="002A7A6A"/>
    <w:rsid w:val="002B7C2B"/>
    <w:rsid w:val="002D294E"/>
    <w:rsid w:val="002D6E72"/>
    <w:rsid w:val="00330AFC"/>
    <w:rsid w:val="00336A29"/>
    <w:rsid w:val="00362C9D"/>
    <w:rsid w:val="003A487A"/>
    <w:rsid w:val="003A76B8"/>
    <w:rsid w:val="003C577D"/>
    <w:rsid w:val="003E7687"/>
    <w:rsid w:val="0040166E"/>
    <w:rsid w:val="0040191D"/>
    <w:rsid w:val="004148C0"/>
    <w:rsid w:val="00442C65"/>
    <w:rsid w:val="004442D0"/>
    <w:rsid w:val="00444FF5"/>
    <w:rsid w:val="00453A75"/>
    <w:rsid w:val="00466A22"/>
    <w:rsid w:val="0048297D"/>
    <w:rsid w:val="004D1A2A"/>
    <w:rsid w:val="004D4DF3"/>
    <w:rsid w:val="004E325C"/>
    <w:rsid w:val="00501A9F"/>
    <w:rsid w:val="0053060F"/>
    <w:rsid w:val="00530B28"/>
    <w:rsid w:val="00541911"/>
    <w:rsid w:val="00557819"/>
    <w:rsid w:val="00560BC4"/>
    <w:rsid w:val="00563D7E"/>
    <w:rsid w:val="00564638"/>
    <w:rsid w:val="005772CC"/>
    <w:rsid w:val="005A0040"/>
    <w:rsid w:val="005A72C6"/>
    <w:rsid w:val="005B1AB1"/>
    <w:rsid w:val="005E5F3C"/>
    <w:rsid w:val="00614B64"/>
    <w:rsid w:val="00615831"/>
    <w:rsid w:val="006300B6"/>
    <w:rsid w:val="00650901"/>
    <w:rsid w:val="00651DB1"/>
    <w:rsid w:val="0067543A"/>
    <w:rsid w:val="0067576D"/>
    <w:rsid w:val="00686C55"/>
    <w:rsid w:val="006C27AB"/>
    <w:rsid w:val="006C59FB"/>
    <w:rsid w:val="006D0E96"/>
    <w:rsid w:val="006F0D75"/>
    <w:rsid w:val="0070583E"/>
    <w:rsid w:val="007326BD"/>
    <w:rsid w:val="007453D4"/>
    <w:rsid w:val="007537AD"/>
    <w:rsid w:val="007603A5"/>
    <w:rsid w:val="00777A11"/>
    <w:rsid w:val="007828B0"/>
    <w:rsid w:val="00787204"/>
    <w:rsid w:val="007A3C6F"/>
    <w:rsid w:val="007A6E2C"/>
    <w:rsid w:val="007B28F4"/>
    <w:rsid w:val="007B5AC4"/>
    <w:rsid w:val="007C00BD"/>
    <w:rsid w:val="007C6E84"/>
    <w:rsid w:val="007E699E"/>
    <w:rsid w:val="00801401"/>
    <w:rsid w:val="00802496"/>
    <w:rsid w:val="0080287F"/>
    <w:rsid w:val="00805789"/>
    <w:rsid w:val="00806603"/>
    <w:rsid w:val="00812123"/>
    <w:rsid w:val="00812B77"/>
    <w:rsid w:val="00830513"/>
    <w:rsid w:val="008445F5"/>
    <w:rsid w:val="0085098A"/>
    <w:rsid w:val="008536F3"/>
    <w:rsid w:val="008739D9"/>
    <w:rsid w:val="00874C53"/>
    <w:rsid w:val="008805E0"/>
    <w:rsid w:val="00893E78"/>
    <w:rsid w:val="00895EB6"/>
    <w:rsid w:val="008A5017"/>
    <w:rsid w:val="008B75A1"/>
    <w:rsid w:val="008C7939"/>
    <w:rsid w:val="008D2EB2"/>
    <w:rsid w:val="008E01E4"/>
    <w:rsid w:val="008E706B"/>
    <w:rsid w:val="008F2206"/>
    <w:rsid w:val="008F4A41"/>
    <w:rsid w:val="00902679"/>
    <w:rsid w:val="00904B91"/>
    <w:rsid w:val="009121DA"/>
    <w:rsid w:val="00913C4A"/>
    <w:rsid w:val="00917E82"/>
    <w:rsid w:val="0095369E"/>
    <w:rsid w:val="00963EB4"/>
    <w:rsid w:val="00976D7C"/>
    <w:rsid w:val="0098575E"/>
    <w:rsid w:val="009926E5"/>
    <w:rsid w:val="009A31D6"/>
    <w:rsid w:val="009C51D2"/>
    <w:rsid w:val="009D33AA"/>
    <w:rsid w:val="009D4E25"/>
    <w:rsid w:val="00A021D3"/>
    <w:rsid w:val="00A02A63"/>
    <w:rsid w:val="00A03A43"/>
    <w:rsid w:val="00A4482B"/>
    <w:rsid w:val="00A45E83"/>
    <w:rsid w:val="00A51536"/>
    <w:rsid w:val="00A7452D"/>
    <w:rsid w:val="00A97853"/>
    <w:rsid w:val="00AB1D3E"/>
    <w:rsid w:val="00AC23D8"/>
    <w:rsid w:val="00AC3FBF"/>
    <w:rsid w:val="00AC595D"/>
    <w:rsid w:val="00AE55AD"/>
    <w:rsid w:val="00B201CB"/>
    <w:rsid w:val="00B223B0"/>
    <w:rsid w:val="00B2288B"/>
    <w:rsid w:val="00B27EDE"/>
    <w:rsid w:val="00B54F6C"/>
    <w:rsid w:val="00B55096"/>
    <w:rsid w:val="00B739A6"/>
    <w:rsid w:val="00B81952"/>
    <w:rsid w:val="00B9702B"/>
    <w:rsid w:val="00BA78C0"/>
    <w:rsid w:val="00BC1E44"/>
    <w:rsid w:val="00BC2866"/>
    <w:rsid w:val="00BC58A8"/>
    <w:rsid w:val="00BD289C"/>
    <w:rsid w:val="00C00932"/>
    <w:rsid w:val="00C12367"/>
    <w:rsid w:val="00C13234"/>
    <w:rsid w:val="00C236A0"/>
    <w:rsid w:val="00C32849"/>
    <w:rsid w:val="00C345A7"/>
    <w:rsid w:val="00C427D1"/>
    <w:rsid w:val="00C57CD0"/>
    <w:rsid w:val="00C6157E"/>
    <w:rsid w:val="00CC46E1"/>
    <w:rsid w:val="00CD2143"/>
    <w:rsid w:val="00CD6A7C"/>
    <w:rsid w:val="00D01563"/>
    <w:rsid w:val="00D04891"/>
    <w:rsid w:val="00D07D27"/>
    <w:rsid w:val="00D20555"/>
    <w:rsid w:val="00D63ADF"/>
    <w:rsid w:val="00D6550B"/>
    <w:rsid w:val="00D917EC"/>
    <w:rsid w:val="00D94081"/>
    <w:rsid w:val="00DA407E"/>
    <w:rsid w:val="00DC4C38"/>
    <w:rsid w:val="00DC7A0D"/>
    <w:rsid w:val="00DD137C"/>
    <w:rsid w:val="00DE3F3C"/>
    <w:rsid w:val="00DE5491"/>
    <w:rsid w:val="00DF266B"/>
    <w:rsid w:val="00E056D3"/>
    <w:rsid w:val="00E41398"/>
    <w:rsid w:val="00E547AE"/>
    <w:rsid w:val="00E63ABA"/>
    <w:rsid w:val="00E65FDE"/>
    <w:rsid w:val="00E72734"/>
    <w:rsid w:val="00E73D5C"/>
    <w:rsid w:val="00E73DEB"/>
    <w:rsid w:val="00E81301"/>
    <w:rsid w:val="00E82596"/>
    <w:rsid w:val="00E82D3A"/>
    <w:rsid w:val="00E84CE7"/>
    <w:rsid w:val="00E91545"/>
    <w:rsid w:val="00E974AE"/>
    <w:rsid w:val="00EA4AEE"/>
    <w:rsid w:val="00EB13DF"/>
    <w:rsid w:val="00EC4EA3"/>
    <w:rsid w:val="00EE342F"/>
    <w:rsid w:val="00EE544D"/>
    <w:rsid w:val="00EE5672"/>
    <w:rsid w:val="00F02601"/>
    <w:rsid w:val="00F13CD0"/>
    <w:rsid w:val="00F252E5"/>
    <w:rsid w:val="00F31782"/>
    <w:rsid w:val="00F55593"/>
    <w:rsid w:val="00F6461C"/>
    <w:rsid w:val="00F716F4"/>
    <w:rsid w:val="00F736A9"/>
    <w:rsid w:val="00F834D7"/>
    <w:rsid w:val="00F841EA"/>
    <w:rsid w:val="00F91128"/>
    <w:rsid w:val="00FA7A63"/>
    <w:rsid w:val="00FB0CB2"/>
    <w:rsid w:val="00FB3B2E"/>
    <w:rsid w:val="00FE2FE5"/>
    <w:rsid w:val="00FF2F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3F7B7"/>
  <w15:docId w15:val="{C9B74CD6-ECD6-4BAE-BE27-EFF71559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1D2"/>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1F64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07D27"/>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D07D27"/>
    <w:rPr>
      <w:rFonts w:ascii="Segoe UI" w:hAnsi="Segoe UI" w:cs="Segoe UI"/>
      <w:sz w:val="18"/>
      <w:szCs w:val="18"/>
      <w:lang w:eastAsia="en-US"/>
    </w:rPr>
  </w:style>
  <w:style w:type="paragraph" w:styleId="Sinespaciado">
    <w:name w:val="No Spacing"/>
    <w:uiPriority w:val="1"/>
    <w:qFormat/>
    <w:rsid w:val="001F30BD"/>
    <w:rPr>
      <w:sz w:val="22"/>
      <w:szCs w:val="22"/>
      <w:lang w:eastAsia="en-US"/>
    </w:rPr>
  </w:style>
  <w:style w:type="paragraph" w:styleId="NormalWeb">
    <w:name w:val="Normal (Web)"/>
    <w:basedOn w:val="Normal"/>
    <w:uiPriority w:val="99"/>
    <w:semiHidden/>
    <w:unhideWhenUsed/>
    <w:rsid w:val="00E974AE"/>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uiPriority w:val="99"/>
    <w:semiHidden/>
    <w:unhideWhenUsed/>
    <w:rsid w:val="008536F3"/>
    <w:rPr>
      <w:sz w:val="20"/>
      <w:szCs w:val="20"/>
    </w:rPr>
  </w:style>
  <w:style w:type="character" w:customStyle="1" w:styleId="TextonotapieCar">
    <w:name w:val="Texto nota pie Car"/>
    <w:link w:val="Textonotapie"/>
    <w:uiPriority w:val="99"/>
    <w:semiHidden/>
    <w:rsid w:val="008536F3"/>
    <w:rPr>
      <w:lang w:eastAsia="en-US"/>
    </w:rPr>
  </w:style>
  <w:style w:type="character" w:styleId="Refdenotaalpie">
    <w:name w:val="footnote reference"/>
    <w:uiPriority w:val="99"/>
    <w:semiHidden/>
    <w:unhideWhenUsed/>
    <w:rsid w:val="008536F3"/>
    <w:rPr>
      <w:vertAlign w:val="superscript"/>
    </w:rPr>
  </w:style>
  <w:style w:type="paragraph" w:styleId="Prrafodelista">
    <w:name w:val="List Paragraph"/>
    <w:basedOn w:val="Normal"/>
    <w:uiPriority w:val="34"/>
    <w:qFormat/>
    <w:rsid w:val="00F834D7"/>
    <w:pPr>
      <w:spacing w:after="160" w:line="259" w:lineRule="auto"/>
      <w:ind w:left="720"/>
      <w:contextualSpacing/>
    </w:pPr>
  </w:style>
  <w:style w:type="character" w:styleId="Hipervnculo">
    <w:name w:val="Hyperlink"/>
    <w:uiPriority w:val="99"/>
    <w:unhideWhenUsed/>
    <w:rsid w:val="009926E5"/>
    <w:rPr>
      <w:color w:val="0563C1"/>
      <w:u w:val="single"/>
    </w:rPr>
  </w:style>
  <w:style w:type="paragraph" w:styleId="Descripcin">
    <w:name w:val="caption"/>
    <w:basedOn w:val="Normal"/>
    <w:next w:val="Normal"/>
    <w:uiPriority w:val="35"/>
    <w:unhideWhenUsed/>
    <w:qFormat/>
    <w:rsid w:val="00E82596"/>
    <w:pPr>
      <w:spacing w:line="240" w:lineRule="auto"/>
    </w:pPr>
    <w:rPr>
      <w:rFonts w:asciiTheme="minorHAnsi" w:eastAsiaTheme="minorHAnsi" w:hAnsiTheme="minorHAnsi" w:cstheme="minorBidi"/>
      <w:b/>
      <w:bCs/>
      <w:color w:val="4F81BD" w:themeColor="accent1"/>
      <w:sz w:val="18"/>
      <w:szCs w:val="18"/>
    </w:rPr>
  </w:style>
  <w:style w:type="character" w:styleId="Mencinsinresolver">
    <w:name w:val="Unresolved Mention"/>
    <w:basedOn w:val="Fuentedeprrafopredeter"/>
    <w:uiPriority w:val="99"/>
    <w:semiHidden/>
    <w:unhideWhenUsed/>
    <w:rsid w:val="00AC595D"/>
    <w:rPr>
      <w:color w:val="605E5C"/>
      <w:shd w:val="clear" w:color="auto" w:fill="E1DFDD"/>
    </w:rPr>
  </w:style>
  <w:style w:type="paragraph" w:styleId="Encabezado">
    <w:name w:val="header"/>
    <w:basedOn w:val="Normal"/>
    <w:link w:val="EncabezadoCar"/>
    <w:uiPriority w:val="99"/>
    <w:unhideWhenUsed/>
    <w:rsid w:val="00453A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3A75"/>
    <w:rPr>
      <w:sz w:val="22"/>
      <w:szCs w:val="22"/>
      <w:lang w:eastAsia="en-US"/>
    </w:rPr>
  </w:style>
  <w:style w:type="paragraph" w:styleId="Piedepgina">
    <w:name w:val="footer"/>
    <w:basedOn w:val="Normal"/>
    <w:link w:val="PiedepginaCar"/>
    <w:uiPriority w:val="99"/>
    <w:unhideWhenUsed/>
    <w:rsid w:val="00453A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3A75"/>
    <w:rPr>
      <w:sz w:val="22"/>
      <w:szCs w:val="22"/>
      <w:lang w:eastAsia="en-US"/>
    </w:rPr>
  </w:style>
  <w:style w:type="paragraph" w:styleId="Subttulo">
    <w:name w:val="Subtitle"/>
    <w:basedOn w:val="Normal"/>
    <w:next w:val="Normal"/>
    <w:link w:val="SubttuloCar"/>
    <w:uiPriority w:val="11"/>
    <w:qFormat/>
    <w:rsid w:val="006C59F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6C59FB"/>
    <w:rPr>
      <w:rFonts w:asciiTheme="minorHAnsi" w:eastAsiaTheme="minorEastAsia" w:hAnsiTheme="minorHAnsi" w:cstheme="minorBidi"/>
      <w:color w:val="5A5A5A" w:themeColor="text1" w:themeTint="A5"/>
      <w:spacing w:val="15"/>
      <w:sz w:val="22"/>
      <w:szCs w:val="22"/>
      <w:lang w:eastAsia="en-US"/>
    </w:rPr>
  </w:style>
  <w:style w:type="character" w:styleId="nfasissutil">
    <w:name w:val="Subtle Emphasis"/>
    <w:basedOn w:val="Fuentedeprrafopredeter"/>
    <w:uiPriority w:val="19"/>
    <w:qFormat/>
    <w:rsid w:val="00560BC4"/>
    <w:rPr>
      <w:i/>
      <w:iCs/>
      <w:color w:val="404040" w:themeColor="text1" w:themeTint="BF"/>
    </w:rPr>
  </w:style>
  <w:style w:type="character" w:styleId="Referenciasutil">
    <w:name w:val="Subtle Reference"/>
    <w:basedOn w:val="Fuentedeprrafopredeter"/>
    <w:uiPriority w:val="31"/>
    <w:qFormat/>
    <w:rsid w:val="00560BC4"/>
    <w:rPr>
      <w:smallCaps/>
      <w:color w:val="5A5A5A" w:themeColor="text1" w:themeTint="A5"/>
    </w:rPr>
  </w:style>
  <w:style w:type="paragraph" w:styleId="Cita">
    <w:name w:val="Quote"/>
    <w:basedOn w:val="Normal"/>
    <w:next w:val="Normal"/>
    <w:link w:val="CitaCar"/>
    <w:uiPriority w:val="29"/>
    <w:qFormat/>
    <w:rsid w:val="00C427D1"/>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C427D1"/>
    <w:rPr>
      <w:i/>
      <w:iCs/>
      <w:color w:val="404040" w:themeColor="text1" w:themeTint="BF"/>
      <w:sz w:val="22"/>
      <w:szCs w:val="22"/>
      <w:lang w:eastAsia="en-US"/>
    </w:rPr>
  </w:style>
  <w:style w:type="character" w:customStyle="1" w:styleId="Ttulo2Car">
    <w:name w:val="Título 2 Car"/>
    <w:basedOn w:val="Fuentedeprrafopredeter"/>
    <w:link w:val="Ttulo2"/>
    <w:uiPriority w:val="9"/>
    <w:rsid w:val="001F64EE"/>
    <w:rPr>
      <w:rFonts w:asciiTheme="majorHAnsi" w:eastAsiaTheme="majorEastAsia" w:hAnsiTheme="majorHAnsi" w:cstheme="majorBidi"/>
      <w:color w:val="365F91" w:themeColor="accent1" w:themeShade="BF"/>
      <w:sz w:val="26"/>
      <w:szCs w:val="26"/>
      <w:lang w:eastAsia="en-US"/>
    </w:rPr>
  </w:style>
  <w:style w:type="character" w:styleId="Textoennegrita">
    <w:name w:val="Strong"/>
    <w:basedOn w:val="Fuentedeprrafopredeter"/>
    <w:uiPriority w:val="22"/>
    <w:qFormat/>
    <w:rsid w:val="00A03A43"/>
    <w:rPr>
      <w:b/>
      <w:bCs/>
    </w:rPr>
  </w:style>
  <w:style w:type="character" w:styleId="Hipervnculovisitado">
    <w:name w:val="FollowedHyperlink"/>
    <w:basedOn w:val="Fuentedeprrafopredeter"/>
    <w:uiPriority w:val="99"/>
    <w:semiHidden/>
    <w:unhideWhenUsed/>
    <w:rsid w:val="00A515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65565">
      <w:bodyDiv w:val="1"/>
      <w:marLeft w:val="0"/>
      <w:marRight w:val="0"/>
      <w:marTop w:val="0"/>
      <w:marBottom w:val="0"/>
      <w:divBdr>
        <w:top w:val="none" w:sz="0" w:space="0" w:color="auto"/>
        <w:left w:val="none" w:sz="0" w:space="0" w:color="auto"/>
        <w:bottom w:val="none" w:sz="0" w:space="0" w:color="auto"/>
        <w:right w:val="none" w:sz="0" w:space="0" w:color="auto"/>
      </w:divBdr>
    </w:div>
    <w:div w:id="204760461">
      <w:bodyDiv w:val="1"/>
      <w:marLeft w:val="0"/>
      <w:marRight w:val="0"/>
      <w:marTop w:val="0"/>
      <w:marBottom w:val="0"/>
      <w:divBdr>
        <w:top w:val="none" w:sz="0" w:space="0" w:color="auto"/>
        <w:left w:val="none" w:sz="0" w:space="0" w:color="auto"/>
        <w:bottom w:val="none" w:sz="0" w:space="0" w:color="auto"/>
        <w:right w:val="none" w:sz="0" w:space="0" w:color="auto"/>
      </w:divBdr>
    </w:div>
    <w:div w:id="366104783">
      <w:bodyDiv w:val="1"/>
      <w:marLeft w:val="0"/>
      <w:marRight w:val="0"/>
      <w:marTop w:val="0"/>
      <w:marBottom w:val="0"/>
      <w:divBdr>
        <w:top w:val="none" w:sz="0" w:space="0" w:color="auto"/>
        <w:left w:val="none" w:sz="0" w:space="0" w:color="auto"/>
        <w:bottom w:val="none" w:sz="0" w:space="0" w:color="auto"/>
        <w:right w:val="none" w:sz="0" w:space="0" w:color="auto"/>
      </w:divBdr>
    </w:div>
    <w:div w:id="429090016">
      <w:bodyDiv w:val="1"/>
      <w:marLeft w:val="0"/>
      <w:marRight w:val="0"/>
      <w:marTop w:val="0"/>
      <w:marBottom w:val="0"/>
      <w:divBdr>
        <w:top w:val="none" w:sz="0" w:space="0" w:color="auto"/>
        <w:left w:val="none" w:sz="0" w:space="0" w:color="auto"/>
        <w:bottom w:val="none" w:sz="0" w:space="0" w:color="auto"/>
        <w:right w:val="none" w:sz="0" w:space="0" w:color="auto"/>
      </w:divBdr>
    </w:div>
    <w:div w:id="480654325">
      <w:bodyDiv w:val="1"/>
      <w:marLeft w:val="0"/>
      <w:marRight w:val="0"/>
      <w:marTop w:val="0"/>
      <w:marBottom w:val="0"/>
      <w:divBdr>
        <w:top w:val="none" w:sz="0" w:space="0" w:color="auto"/>
        <w:left w:val="none" w:sz="0" w:space="0" w:color="auto"/>
        <w:bottom w:val="none" w:sz="0" w:space="0" w:color="auto"/>
        <w:right w:val="none" w:sz="0" w:space="0" w:color="auto"/>
      </w:divBdr>
    </w:div>
    <w:div w:id="557593324">
      <w:bodyDiv w:val="1"/>
      <w:marLeft w:val="0"/>
      <w:marRight w:val="0"/>
      <w:marTop w:val="0"/>
      <w:marBottom w:val="0"/>
      <w:divBdr>
        <w:top w:val="none" w:sz="0" w:space="0" w:color="auto"/>
        <w:left w:val="none" w:sz="0" w:space="0" w:color="auto"/>
        <w:bottom w:val="none" w:sz="0" w:space="0" w:color="auto"/>
        <w:right w:val="none" w:sz="0" w:space="0" w:color="auto"/>
      </w:divBdr>
    </w:div>
    <w:div w:id="570850151">
      <w:bodyDiv w:val="1"/>
      <w:marLeft w:val="0"/>
      <w:marRight w:val="0"/>
      <w:marTop w:val="0"/>
      <w:marBottom w:val="0"/>
      <w:divBdr>
        <w:top w:val="none" w:sz="0" w:space="0" w:color="auto"/>
        <w:left w:val="none" w:sz="0" w:space="0" w:color="auto"/>
        <w:bottom w:val="none" w:sz="0" w:space="0" w:color="auto"/>
        <w:right w:val="none" w:sz="0" w:space="0" w:color="auto"/>
      </w:divBdr>
    </w:div>
    <w:div w:id="586353853">
      <w:bodyDiv w:val="1"/>
      <w:marLeft w:val="0"/>
      <w:marRight w:val="0"/>
      <w:marTop w:val="0"/>
      <w:marBottom w:val="0"/>
      <w:divBdr>
        <w:top w:val="none" w:sz="0" w:space="0" w:color="auto"/>
        <w:left w:val="none" w:sz="0" w:space="0" w:color="auto"/>
        <w:bottom w:val="none" w:sz="0" w:space="0" w:color="auto"/>
        <w:right w:val="none" w:sz="0" w:space="0" w:color="auto"/>
      </w:divBdr>
    </w:div>
    <w:div w:id="589965634">
      <w:bodyDiv w:val="1"/>
      <w:marLeft w:val="0"/>
      <w:marRight w:val="0"/>
      <w:marTop w:val="0"/>
      <w:marBottom w:val="0"/>
      <w:divBdr>
        <w:top w:val="none" w:sz="0" w:space="0" w:color="auto"/>
        <w:left w:val="none" w:sz="0" w:space="0" w:color="auto"/>
        <w:bottom w:val="none" w:sz="0" w:space="0" w:color="auto"/>
        <w:right w:val="none" w:sz="0" w:space="0" w:color="auto"/>
      </w:divBdr>
    </w:div>
    <w:div w:id="599870470">
      <w:bodyDiv w:val="1"/>
      <w:marLeft w:val="0"/>
      <w:marRight w:val="0"/>
      <w:marTop w:val="0"/>
      <w:marBottom w:val="0"/>
      <w:divBdr>
        <w:top w:val="none" w:sz="0" w:space="0" w:color="auto"/>
        <w:left w:val="none" w:sz="0" w:space="0" w:color="auto"/>
        <w:bottom w:val="none" w:sz="0" w:space="0" w:color="auto"/>
        <w:right w:val="none" w:sz="0" w:space="0" w:color="auto"/>
      </w:divBdr>
    </w:div>
    <w:div w:id="620192198">
      <w:bodyDiv w:val="1"/>
      <w:marLeft w:val="0"/>
      <w:marRight w:val="0"/>
      <w:marTop w:val="0"/>
      <w:marBottom w:val="0"/>
      <w:divBdr>
        <w:top w:val="none" w:sz="0" w:space="0" w:color="auto"/>
        <w:left w:val="none" w:sz="0" w:space="0" w:color="auto"/>
        <w:bottom w:val="none" w:sz="0" w:space="0" w:color="auto"/>
        <w:right w:val="none" w:sz="0" w:space="0" w:color="auto"/>
      </w:divBdr>
    </w:div>
    <w:div w:id="708148661">
      <w:bodyDiv w:val="1"/>
      <w:marLeft w:val="0"/>
      <w:marRight w:val="0"/>
      <w:marTop w:val="0"/>
      <w:marBottom w:val="0"/>
      <w:divBdr>
        <w:top w:val="none" w:sz="0" w:space="0" w:color="auto"/>
        <w:left w:val="none" w:sz="0" w:space="0" w:color="auto"/>
        <w:bottom w:val="none" w:sz="0" w:space="0" w:color="auto"/>
        <w:right w:val="none" w:sz="0" w:space="0" w:color="auto"/>
      </w:divBdr>
    </w:div>
    <w:div w:id="792017533">
      <w:bodyDiv w:val="1"/>
      <w:marLeft w:val="0"/>
      <w:marRight w:val="0"/>
      <w:marTop w:val="0"/>
      <w:marBottom w:val="0"/>
      <w:divBdr>
        <w:top w:val="none" w:sz="0" w:space="0" w:color="auto"/>
        <w:left w:val="none" w:sz="0" w:space="0" w:color="auto"/>
        <w:bottom w:val="none" w:sz="0" w:space="0" w:color="auto"/>
        <w:right w:val="none" w:sz="0" w:space="0" w:color="auto"/>
      </w:divBdr>
    </w:div>
    <w:div w:id="841119622">
      <w:bodyDiv w:val="1"/>
      <w:marLeft w:val="0"/>
      <w:marRight w:val="0"/>
      <w:marTop w:val="0"/>
      <w:marBottom w:val="0"/>
      <w:divBdr>
        <w:top w:val="none" w:sz="0" w:space="0" w:color="auto"/>
        <w:left w:val="none" w:sz="0" w:space="0" w:color="auto"/>
        <w:bottom w:val="none" w:sz="0" w:space="0" w:color="auto"/>
        <w:right w:val="none" w:sz="0" w:space="0" w:color="auto"/>
      </w:divBdr>
    </w:div>
    <w:div w:id="886256909">
      <w:bodyDiv w:val="1"/>
      <w:marLeft w:val="0"/>
      <w:marRight w:val="0"/>
      <w:marTop w:val="0"/>
      <w:marBottom w:val="0"/>
      <w:divBdr>
        <w:top w:val="none" w:sz="0" w:space="0" w:color="auto"/>
        <w:left w:val="none" w:sz="0" w:space="0" w:color="auto"/>
        <w:bottom w:val="none" w:sz="0" w:space="0" w:color="auto"/>
        <w:right w:val="none" w:sz="0" w:space="0" w:color="auto"/>
      </w:divBdr>
    </w:div>
    <w:div w:id="939021089">
      <w:bodyDiv w:val="1"/>
      <w:marLeft w:val="0"/>
      <w:marRight w:val="0"/>
      <w:marTop w:val="0"/>
      <w:marBottom w:val="0"/>
      <w:divBdr>
        <w:top w:val="none" w:sz="0" w:space="0" w:color="auto"/>
        <w:left w:val="none" w:sz="0" w:space="0" w:color="auto"/>
        <w:bottom w:val="none" w:sz="0" w:space="0" w:color="auto"/>
        <w:right w:val="none" w:sz="0" w:space="0" w:color="auto"/>
      </w:divBdr>
    </w:div>
    <w:div w:id="973682784">
      <w:bodyDiv w:val="1"/>
      <w:marLeft w:val="0"/>
      <w:marRight w:val="0"/>
      <w:marTop w:val="0"/>
      <w:marBottom w:val="0"/>
      <w:divBdr>
        <w:top w:val="none" w:sz="0" w:space="0" w:color="auto"/>
        <w:left w:val="none" w:sz="0" w:space="0" w:color="auto"/>
        <w:bottom w:val="none" w:sz="0" w:space="0" w:color="auto"/>
        <w:right w:val="none" w:sz="0" w:space="0" w:color="auto"/>
      </w:divBdr>
    </w:div>
    <w:div w:id="995953774">
      <w:bodyDiv w:val="1"/>
      <w:marLeft w:val="0"/>
      <w:marRight w:val="0"/>
      <w:marTop w:val="0"/>
      <w:marBottom w:val="0"/>
      <w:divBdr>
        <w:top w:val="none" w:sz="0" w:space="0" w:color="auto"/>
        <w:left w:val="none" w:sz="0" w:space="0" w:color="auto"/>
        <w:bottom w:val="none" w:sz="0" w:space="0" w:color="auto"/>
        <w:right w:val="none" w:sz="0" w:space="0" w:color="auto"/>
      </w:divBdr>
    </w:div>
    <w:div w:id="1288198150">
      <w:bodyDiv w:val="1"/>
      <w:marLeft w:val="0"/>
      <w:marRight w:val="0"/>
      <w:marTop w:val="0"/>
      <w:marBottom w:val="0"/>
      <w:divBdr>
        <w:top w:val="none" w:sz="0" w:space="0" w:color="auto"/>
        <w:left w:val="none" w:sz="0" w:space="0" w:color="auto"/>
        <w:bottom w:val="none" w:sz="0" w:space="0" w:color="auto"/>
        <w:right w:val="none" w:sz="0" w:space="0" w:color="auto"/>
      </w:divBdr>
    </w:div>
    <w:div w:id="1378779026">
      <w:bodyDiv w:val="1"/>
      <w:marLeft w:val="0"/>
      <w:marRight w:val="0"/>
      <w:marTop w:val="0"/>
      <w:marBottom w:val="0"/>
      <w:divBdr>
        <w:top w:val="none" w:sz="0" w:space="0" w:color="auto"/>
        <w:left w:val="none" w:sz="0" w:space="0" w:color="auto"/>
        <w:bottom w:val="none" w:sz="0" w:space="0" w:color="auto"/>
        <w:right w:val="none" w:sz="0" w:space="0" w:color="auto"/>
      </w:divBdr>
    </w:div>
    <w:div w:id="1386221770">
      <w:bodyDiv w:val="1"/>
      <w:marLeft w:val="0"/>
      <w:marRight w:val="0"/>
      <w:marTop w:val="0"/>
      <w:marBottom w:val="0"/>
      <w:divBdr>
        <w:top w:val="none" w:sz="0" w:space="0" w:color="auto"/>
        <w:left w:val="none" w:sz="0" w:space="0" w:color="auto"/>
        <w:bottom w:val="none" w:sz="0" w:space="0" w:color="auto"/>
        <w:right w:val="none" w:sz="0" w:space="0" w:color="auto"/>
      </w:divBdr>
    </w:div>
    <w:div w:id="1387686339">
      <w:bodyDiv w:val="1"/>
      <w:marLeft w:val="0"/>
      <w:marRight w:val="0"/>
      <w:marTop w:val="0"/>
      <w:marBottom w:val="0"/>
      <w:divBdr>
        <w:top w:val="none" w:sz="0" w:space="0" w:color="auto"/>
        <w:left w:val="none" w:sz="0" w:space="0" w:color="auto"/>
        <w:bottom w:val="none" w:sz="0" w:space="0" w:color="auto"/>
        <w:right w:val="none" w:sz="0" w:space="0" w:color="auto"/>
      </w:divBdr>
    </w:div>
    <w:div w:id="1451820272">
      <w:bodyDiv w:val="1"/>
      <w:marLeft w:val="0"/>
      <w:marRight w:val="0"/>
      <w:marTop w:val="0"/>
      <w:marBottom w:val="0"/>
      <w:divBdr>
        <w:top w:val="none" w:sz="0" w:space="0" w:color="auto"/>
        <w:left w:val="none" w:sz="0" w:space="0" w:color="auto"/>
        <w:bottom w:val="none" w:sz="0" w:space="0" w:color="auto"/>
        <w:right w:val="none" w:sz="0" w:space="0" w:color="auto"/>
      </w:divBdr>
    </w:div>
    <w:div w:id="1490749334">
      <w:bodyDiv w:val="1"/>
      <w:marLeft w:val="0"/>
      <w:marRight w:val="0"/>
      <w:marTop w:val="0"/>
      <w:marBottom w:val="0"/>
      <w:divBdr>
        <w:top w:val="none" w:sz="0" w:space="0" w:color="auto"/>
        <w:left w:val="none" w:sz="0" w:space="0" w:color="auto"/>
        <w:bottom w:val="none" w:sz="0" w:space="0" w:color="auto"/>
        <w:right w:val="none" w:sz="0" w:space="0" w:color="auto"/>
      </w:divBdr>
    </w:div>
    <w:div w:id="1537738769">
      <w:bodyDiv w:val="1"/>
      <w:marLeft w:val="0"/>
      <w:marRight w:val="0"/>
      <w:marTop w:val="0"/>
      <w:marBottom w:val="0"/>
      <w:divBdr>
        <w:top w:val="none" w:sz="0" w:space="0" w:color="auto"/>
        <w:left w:val="none" w:sz="0" w:space="0" w:color="auto"/>
        <w:bottom w:val="none" w:sz="0" w:space="0" w:color="auto"/>
        <w:right w:val="none" w:sz="0" w:space="0" w:color="auto"/>
      </w:divBdr>
    </w:div>
    <w:div w:id="1538468115">
      <w:bodyDiv w:val="1"/>
      <w:marLeft w:val="0"/>
      <w:marRight w:val="0"/>
      <w:marTop w:val="0"/>
      <w:marBottom w:val="0"/>
      <w:divBdr>
        <w:top w:val="none" w:sz="0" w:space="0" w:color="auto"/>
        <w:left w:val="none" w:sz="0" w:space="0" w:color="auto"/>
        <w:bottom w:val="none" w:sz="0" w:space="0" w:color="auto"/>
        <w:right w:val="none" w:sz="0" w:space="0" w:color="auto"/>
      </w:divBdr>
    </w:div>
    <w:div w:id="1590115167">
      <w:bodyDiv w:val="1"/>
      <w:marLeft w:val="0"/>
      <w:marRight w:val="0"/>
      <w:marTop w:val="0"/>
      <w:marBottom w:val="0"/>
      <w:divBdr>
        <w:top w:val="none" w:sz="0" w:space="0" w:color="auto"/>
        <w:left w:val="none" w:sz="0" w:space="0" w:color="auto"/>
        <w:bottom w:val="none" w:sz="0" w:space="0" w:color="auto"/>
        <w:right w:val="none" w:sz="0" w:space="0" w:color="auto"/>
      </w:divBdr>
    </w:div>
    <w:div w:id="1618100788">
      <w:bodyDiv w:val="1"/>
      <w:marLeft w:val="0"/>
      <w:marRight w:val="0"/>
      <w:marTop w:val="0"/>
      <w:marBottom w:val="0"/>
      <w:divBdr>
        <w:top w:val="none" w:sz="0" w:space="0" w:color="auto"/>
        <w:left w:val="none" w:sz="0" w:space="0" w:color="auto"/>
        <w:bottom w:val="none" w:sz="0" w:space="0" w:color="auto"/>
        <w:right w:val="none" w:sz="0" w:space="0" w:color="auto"/>
      </w:divBdr>
    </w:div>
    <w:div w:id="1822189585">
      <w:bodyDiv w:val="1"/>
      <w:marLeft w:val="0"/>
      <w:marRight w:val="0"/>
      <w:marTop w:val="0"/>
      <w:marBottom w:val="0"/>
      <w:divBdr>
        <w:top w:val="none" w:sz="0" w:space="0" w:color="auto"/>
        <w:left w:val="none" w:sz="0" w:space="0" w:color="auto"/>
        <w:bottom w:val="none" w:sz="0" w:space="0" w:color="auto"/>
        <w:right w:val="none" w:sz="0" w:space="0" w:color="auto"/>
      </w:divBdr>
    </w:div>
    <w:div w:id="1849320778">
      <w:bodyDiv w:val="1"/>
      <w:marLeft w:val="0"/>
      <w:marRight w:val="0"/>
      <w:marTop w:val="0"/>
      <w:marBottom w:val="0"/>
      <w:divBdr>
        <w:top w:val="none" w:sz="0" w:space="0" w:color="auto"/>
        <w:left w:val="none" w:sz="0" w:space="0" w:color="auto"/>
        <w:bottom w:val="none" w:sz="0" w:space="0" w:color="auto"/>
        <w:right w:val="none" w:sz="0" w:space="0" w:color="auto"/>
      </w:divBdr>
    </w:div>
    <w:div w:id="1886867358">
      <w:bodyDiv w:val="1"/>
      <w:marLeft w:val="0"/>
      <w:marRight w:val="0"/>
      <w:marTop w:val="0"/>
      <w:marBottom w:val="0"/>
      <w:divBdr>
        <w:top w:val="none" w:sz="0" w:space="0" w:color="auto"/>
        <w:left w:val="none" w:sz="0" w:space="0" w:color="auto"/>
        <w:bottom w:val="none" w:sz="0" w:space="0" w:color="auto"/>
        <w:right w:val="none" w:sz="0" w:space="0" w:color="auto"/>
      </w:divBdr>
    </w:div>
    <w:div w:id="1914970351">
      <w:bodyDiv w:val="1"/>
      <w:marLeft w:val="0"/>
      <w:marRight w:val="0"/>
      <w:marTop w:val="0"/>
      <w:marBottom w:val="0"/>
      <w:divBdr>
        <w:top w:val="none" w:sz="0" w:space="0" w:color="auto"/>
        <w:left w:val="none" w:sz="0" w:space="0" w:color="auto"/>
        <w:bottom w:val="none" w:sz="0" w:space="0" w:color="auto"/>
        <w:right w:val="none" w:sz="0" w:space="0" w:color="auto"/>
      </w:divBdr>
    </w:div>
    <w:div w:id="1985502561">
      <w:bodyDiv w:val="1"/>
      <w:marLeft w:val="0"/>
      <w:marRight w:val="0"/>
      <w:marTop w:val="0"/>
      <w:marBottom w:val="0"/>
      <w:divBdr>
        <w:top w:val="none" w:sz="0" w:space="0" w:color="auto"/>
        <w:left w:val="none" w:sz="0" w:space="0" w:color="auto"/>
        <w:bottom w:val="none" w:sz="0" w:space="0" w:color="auto"/>
        <w:right w:val="none" w:sz="0" w:space="0" w:color="auto"/>
      </w:divBdr>
    </w:div>
    <w:div w:id="1986204995">
      <w:bodyDiv w:val="1"/>
      <w:marLeft w:val="0"/>
      <w:marRight w:val="0"/>
      <w:marTop w:val="0"/>
      <w:marBottom w:val="0"/>
      <w:divBdr>
        <w:top w:val="none" w:sz="0" w:space="0" w:color="auto"/>
        <w:left w:val="none" w:sz="0" w:space="0" w:color="auto"/>
        <w:bottom w:val="none" w:sz="0" w:space="0" w:color="auto"/>
        <w:right w:val="none" w:sz="0" w:space="0" w:color="auto"/>
      </w:divBdr>
    </w:div>
    <w:div w:id="2048948920">
      <w:bodyDiv w:val="1"/>
      <w:marLeft w:val="0"/>
      <w:marRight w:val="0"/>
      <w:marTop w:val="0"/>
      <w:marBottom w:val="0"/>
      <w:divBdr>
        <w:top w:val="none" w:sz="0" w:space="0" w:color="auto"/>
        <w:left w:val="none" w:sz="0" w:space="0" w:color="auto"/>
        <w:bottom w:val="none" w:sz="0" w:space="0" w:color="auto"/>
        <w:right w:val="none" w:sz="0" w:space="0" w:color="auto"/>
      </w:divBdr>
    </w:div>
    <w:div w:id="2069718270">
      <w:bodyDiv w:val="1"/>
      <w:marLeft w:val="0"/>
      <w:marRight w:val="0"/>
      <w:marTop w:val="0"/>
      <w:marBottom w:val="0"/>
      <w:divBdr>
        <w:top w:val="none" w:sz="0" w:space="0" w:color="auto"/>
        <w:left w:val="none" w:sz="0" w:space="0" w:color="auto"/>
        <w:bottom w:val="none" w:sz="0" w:space="0" w:color="auto"/>
        <w:right w:val="none" w:sz="0" w:space="0" w:color="auto"/>
      </w:divBdr>
    </w:div>
    <w:div w:id="2083989392">
      <w:bodyDiv w:val="1"/>
      <w:marLeft w:val="0"/>
      <w:marRight w:val="0"/>
      <w:marTop w:val="0"/>
      <w:marBottom w:val="0"/>
      <w:divBdr>
        <w:top w:val="none" w:sz="0" w:space="0" w:color="auto"/>
        <w:left w:val="none" w:sz="0" w:space="0" w:color="auto"/>
        <w:bottom w:val="none" w:sz="0" w:space="0" w:color="auto"/>
        <w:right w:val="none" w:sz="0" w:space="0" w:color="auto"/>
      </w:divBdr>
    </w:div>
    <w:div w:id="2089226513">
      <w:bodyDiv w:val="1"/>
      <w:marLeft w:val="0"/>
      <w:marRight w:val="0"/>
      <w:marTop w:val="0"/>
      <w:marBottom w:val="0"/>
      <w:divBdr>
        <w:top w:val="none" w:sz="0" w:space="0" w:color="auto"/>
        <w:left w:val="none" w:sz="0" w:space="0" w:color="auto"/>
        <w:bottom w:val="none" w:sz="0" w:space="0" w:color="auto"/>
        <w:right w:val="none" w:sz="0" w:space="0" w:color="auto"/>
      </w:divBdr>
    </w:div>
    <w:div w:id="210110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transparenciapresupuestaria.gob.mx/es/PTP/Infografia_PPEF_2023"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hyperlink" Target="https://www.zapopan.gob.mx/gobierno/organigrama/"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transparenciapresupuestaria.gob.mx/es/PTP/Infografia_PPEF_2023" TargetMode="External"/><Relationship Id="rId27" Type="http://schemas.openxmlformats.org/officeDocument/2006/relationships/hyperlink" Target="https://servicios.zapopan.gob.mx:8000/wwwportal/publicfiles/descargasEnlaces/11-2022/Reglamento%20de%20la%20Administraci%C3%B3n%20P%C3%BAblica%20Municipal%20de%20Zapopan%2C%20Jalisco.pdf"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6769671594276334"/>
          <c:y val="0"/>
          <c:w val="0.68332572943551595"/>
          <c:h val="0.95025690865412171"/>
        </c:manualLayout>
      </c:layout>
      <c:pieChart>
        <c:varyColors val="1"/>
        <c:ser>
          <c:idx val="0"/>
          <c:order val="0"/>
          <c:dLbls>
            <c:dLbl>
              <c:idx val="0"/>
              <c:layout>
                <c:manualLayout>
                  <c:x val="-0.16751037555849668"/>
                  <c:y val="-5.0138158179261275E-2"/>
                </c:manualLayout>
              </c:layout>
              <c:dLblPos val="bestFi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B5-4549-9C9A-6E7D997D58B5}"/>
                </c:ext>
              </c:extLst>
            </c:dLbl>
            <c:dLbl>
              <c:idx val="1"/>
              <c:layout>
                <c:manualLayout>
                  <c:x val="-0.14364453104872896"/>
                  <c:y val="-1.2144275314361351E-2"/>
                </c:manualLayout>
              </c:layout>
              <c:dLblPos val="bestFit"/>
              <c:showLegendKey val="1"/>
              <c:showVal val="1"/>
              <c:showCatName val="1"/>
              <c:showSerName val="0"/>
              <c:showPercent val="0"/>
              <c:showBubbleSize val="0"/>
              <c:extLst>
                <c:ext xmlns:c15="http://schemas.microsoft.com/office/drawing/2012/chart" uri="{CE6537A1-D6FC-4f65-9D91-7224C49458BB}">
                  <c15:layout>
                    <c:manualLayout>
                      <c:w val="0.17650554834720611"/>
                      <c:h val="0.13494374586366645"/>
                    </c:manualLayout>
                  </c15:layout>
                </c:ext>
                <c:ext xmlns:c16="http://schemas.microsoft.com/office/drawing/2014/chart" uri="{C3380CC4-5D6E-409C-BE32-E72D297353CC}">
                  <c16:uniqueId val="{00000000-CE5E-47AC-A3E0-49E8984BC3C7}"/>
                </c:ext>
              </c:extLst>
            </c:dLbl>
            <c:dLbl>
              <c:idx val="2"/>
              <c:layout>
                <c:manualLayout>
                  <c:x val="-0.1642183364795046"/>
                  <c:y val="-5.7419084196209426E-2"/>
                </c:manualLayout>
              </c:layout>
              <c:dLblPos val="bestFi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2B5-4549-9C9A-6E7D997D58B5}"/>
                </c:ext>
              </c:extLst>
            </c:dLbl>
            <c:dLbl>
              <c:idx val="3"/>
              <c:layout>
                <c:manualLayout>
                  <c:x val="-0.20160702993624904"/>
                  <c:y val="-0.12641260676300306"/>
                </c:manualLayout>
              </c:layout>
              <c:dLblPos val="bestFi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2B5-4549-9C9A-6E7D997D58B5}"/>
                </c:ext>
              </c:extLst>
            </c:dLbl>
            <c:dLbl>
              <c:idx val="4"/>
              <c:layout>
                <c:manualLayout>
                  <c:x val="-0.21566184357829751"/>
                  <c:y val="-0.19847157589748668"/>
                </c:manualLayout>
              </c:layout>
              <c:dLblPos val="bestFi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5E-47AC-A3E0-49E8984BC3C7}"/>
                </c:ext>
              </c:extLst>
            </c:dLbl>
            <c:dLbl>
              <c:idx val="5"/>
              <c:layout>
                <c:manualLayout>
                  <c:x val="-9.0503496700033256E-2"/>
                  <c:y val="-0.24261035868200129"/>
                </c:manualLayout>
              </c:layout>
              <c:dLblPos val="bestFi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5E-47AC-A3E0-49E8984BC3C7}"/>
                </c:ext>
              </c:extLst>
            </c:dLbl>
            <c:dLbl>
              <c:idx val="7"/>
              <c:layout>
                <c:manualLayout>
                  <c:x val="-0.10346353642142145"/>
                  <c:y val="-5.2614423362533025E-2"/>
                </c:manualLayout>
              </c:layout>
              <c:dLblPos val="bestFi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5E-47AC-A3E0-49E8984BC3C7}"/>
                </c:ext>
              </c:extLst>
            </c:dLbl>
            <c:spPr>
              <a:noFill/>
              <a:ln>
                <a:noFill/>
              </a:ln>
              <a:effectLst/>
            </c:spPr>
            <c:txPr>
              <a:bodyPr/>
              <a:lstStyle/>
              <a:p>
                <a:pPr>
                  <a:defRPr b="1"/>
                </a:pPr>
                <a:endParaRPr lang="es-MX"/>
              </a:p>
            </c:txPr>
            <c:dLblPos val="bestFit"/>
            <c:showLegendKey val="1"/>
            <c:showVal val="1"/>
            <c:showCatName val="1"/>
            <c:showSerName val="0"/>
            <c:showPercent val="0"/>
            <c:showBubbleSize val="0"/>
            <c:showLeaderLines val="1"/>
            <c:extLst>
              <c:ext xmlns:c15="http://schemas.microsoft.com/office/drawing/2012/chart" uri="{CE6537A1-D6FC-4f65-9D91-7224C49458BB}"/>
            </c:extLst>
          </c:dLbls>
          <c:cat>
            <c:strRef>
              <c:f>Hoja1!$A$1:$A$9</c:f>
              <c:strCache>
                <c:ptCount val="9"/>
                <c:pt idx="0">
                  <c:v>Impuestos</c:v>
                </c:pt>
                <c:pt idx="1">
                  <c:v>Cuotas y Aportaciones de Seguridad Social</c:v>
                </c:pt>
                <c:pt idx="2">
                  <c:v>Contribuciones de Mejoras</c:v>
                </c:pt>
                <c:pt idx="3">
                  <c:v>Derechos</c:v>
                </c:pt>
                <c:pt idx="4">
                  <c:v>Productos</c:v>
                </c:pt>
                <c:pt idx="5">
                  <c:v>Aprovechamientos</c:v>
                </c:pt>
                <c:pt idx="6">
                  <c:v>Ingresos por Ventas de Bienes, Prestación de Servicios y Otros Ingresos</c:v>
                </c:pt>
                <c:pt idx="7">
                  <c:v>Transferencias, Asignaciones, Subsidios y Subvenciones, y Pensiones y Jubilaciones</c:v>
                </c:pt>
                <c:pt idx="8">
                  <c:v>Ingresos Derivados de Financiamientos</c:v>
                </c:pt>
              </c:strCache>
            </c:strRef>
          </c:cat>
          <c:val>
            <c:numRef>
              <c:f>Hoja1!$B$1:$B$9</c:f>
              <c:numCache>
                <c:formatCode>"$"#,##0.00</c:formatCode>
                <c:ptCount val="9"/>
                <c:pt idx="0">
                  <c:v>4623583.1000000006</c:v>
                </c:pt>
                <c:pt idx="1">
                  <c:v>470845.4</c:v>
                </c:pt>
                <c:pt idx="2">
                  <c:v>34.6</c:v>
                </c:pt>
                <c:pt idx="3">
                  <c:v>57193</c:v>
                </c:pt>
                <c:pt idx="4">
                  <c:v>6543.6</c:v>
                </c:pt>
                <c:pt idx="5">
                  <c:v>173554.2</c:v>
                </c:pt>
                <c:pt idx="6">
                  <c:v>1303977.5</c:v>
                </c:pt>
                <c:pt idx="7">
                  <c:v>487742.6</c:v>
                </c:pt>
                <c:pt idx="8">
                  <c:v>1176173.8</c:v>
                </c:pt>
              </c:numCache>
            </c:numRef>
          </c:val>
          <c:extLst>
            <c:ext xmlns:c16="http://schemas.microsoft.com/office/drawing/2014/chart" uri="{C3380CC4-5D6E-409C-BE32-E72D297353CC}">
              <c16:uniqueId val="{00000003-82B5-4549-9C9A-6E7D997D58B5}"/>
            </c:ext>
          </c:extLst>
        </c:ser>
        <c:dLbls>
          <c:showLegendKey val="0"/>
          <c:showVal val="0"/>
          <c:showCatName val="0"/>
          <c:showSerName val="0"/>
          <c:showPercent val="0"/>
          <c:showBubbleSize val="0"/>
          <c:showLeaderLines val="1"/>
        </c:dLbls>
        <c:firstSliceAng val="0"/>
      </c:pieChart>
    </c:plotArea>
    <c:plotVisOnly val="1"/>
    <c:dispBlanksAs val="zero"/>
    <c:showDLblsOverMax val="0"/>
  </c:chart>
  <c:txPr>
    <a:bodyPr/>
    <a:lstStyle/>
    <a:p>
      <a:pPr>
        <a:defRPr sz="800">
          <a:latin typeface="Arial" panose="020B0604020202020204" pitchFamily="34" charset="0"/>
          <a:cs typeface="Arial" panose="020B0604020202020204" pitchFamily="34" charset="0"/>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5261008428285275"/>
          <c:y val="0.16143029118532048"/>
          <c:w val="0.52373116149878451"/>
          <c:h val="0.77901851854277693"/>
        </c:manualLayout>
      </c:layout>
      <c:pieChart>
        <c:varyColors val="1"/>
        <c:ser>
          <c:idx val="0"/>
          <c:order val="0"/>
          <c:dLbls>
            <c:dLbl>
              <c:idx val="0"/>
              <c:layout>
                <c:manualLayout>
                  <c:x val="0.20176833811150849"/>
                  <c:y val="2.3883113234054509E-2"/>
                </c:manualLayout>
              </c:layou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7F-4DC6-9701-E063EED2F5E4}"/>
                </c:ext>
              </c:extLst>
            </c:dLbl>
            <c:dLbl>
              <c:idx val="2"/>
              <c:layout>
                <c:manualLayout>
                  <c:x val="-3.340596734596183E-2"/>
                  <c:y val="4.5962658713741139E-2"/>
                </c:manualLayout>
              </c:layout>
              <c:showLegendKey val="1"/>
              <c:showVal val="1"/>
              <c:showCatName val="1"/>
              <c:showSerName val="0"/>
              <c:showPercent val="0"/>
              <c:showBubbleSize val="0"/>
              <c:extLst>
                <c:ext xmlns:c15="http://schemas.microsoft.com/office/drawing/2012/chart" uri="{CE6537A1-D6FC-4f65-9D91-7224C49458BB}">
                  <c15:layout>
                    <c:manualLayout>
                      <c:w val="0.22680270539234762"/>
                      <c:h val="0.22042730750254982"/>
                    </c:manualLayout>
                  </c15:layout>
                </c:ext>
                <c:ext xmlns:c16="http://schemas.microsoft.com/office/drawing/2014/chart" uri="{C3380CC4-5D6E-409C-BE32-E72D297353CC}">
                  <c16:uniqueId val="{00000003-FE7F-4DC6-9701-E063EED2F5E4}"/>
                </c:ext>
              </c:extLst>
            </c:dLbl>
            <c:dLbl>
              <c:idx val="3"/>
              <c:layout>
                <c:manualLayout>
                  <c:x val="-0.26538053070628942"/>
                  <c:y val="0.22027332281694625"/>
                </c:manualLayout>
              </c:layou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7F-4DC6-9701-E063EED2F5E4}"/>
                </c:ext>
              </c:extLst>
            </c:dLbl>
            <c:dLbl>
              <c:idx val="4"/>
              <c:layout>
                <c:manualLayout>
                  <c:x val="-0.26467237603789195"/>
                  <c:y val="1.4048890137679123E-3"/>
                </c:manualLayout>
              </c:layou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7F-4DC6-9701-E063EED2F5E4}"/>
                </c:ext>
              </c:extLst>
            </c:dLbl>
            <c:spPr>
              <a:noFill/>
              <a:ln>
                <a:noFill/>
              </a:ln>
              <a:effectLst/>
            </c:spPr>
            <c:txPr>
              <a:bodyPr/>
              <a:lstStyle/>
              <a:p>
                <a:pPr>
                  <a:defRPr b="1"/>
                </a:pPr>
                <a:endParaRPr lang="es-MX"/>
              </a:p>
            </c:txPr>
            <c:showLegendKey val="1"/>
            <c:showVal val="1"/>
            <c:showCatName val="1"/>
            <c:showSerName val="0"/>
            <c:showPercent val="0"/>
            <c:showBubbleSize val="0"/>
            <c:showLeaderLines val="1"/>
            <c:extLst>
              <c:ext xmlns:c15="http://schemas.microsoft.com/office/drawing/2012/chart" uri="{CE6537A1-D6FC-4f65-9D91-7224C49458BB}"/>
            </c:extLst>
          </c:dLbls>
          <c:cat>
            <c:strRef>
              <c:f>Hoja1!$A$39:$A$43</c:f>
              <c:strCache>
                <c:ptCount val="5"/>
                <c:pt idx="0">
                  <c:v>Recursos para Salud Pública</c:v>
                </c:pt>
                <c:pt idx="1">
                  <c:v>Participaciones Federales</c:v>
                </c:pt>
                <c:pt idx="2">
                  <c:v>Aportaciones Federales</c:v>
                </c:pt>
                <c:pt idx="3">
                  <c:v>Convenios</c:v>
                </c:pt>
                <c:pt idx="4">
                  <c:v>Subsidios (Ramo 23)</c:v>
                </c:pt>
              </c:strCache>
            </c:strRef>
          </c:cat>
          <c:val>
            <c:numRef>
              <c:f>Hoja1!$B$39:$B$43</c:f>
              <c:numCache>
                <c:formatCode>"$"#,##0.00</c:formatCode>
                <c:ptCount val="5"/>
                <c:pt idx="0">
                  <c:v>81914</c:v>
                </c:pt>
                <c:pt idx="1">
                  <c:v>1220271.1000000001</c:v>
                </c:pt>
                <c:pt idx="2">
                  <c:v>997114.4</c:v>
                </c:pt>
                <c:pt idx="3">
                  <c:v>122618.5</c:v>
                </c:pt>
                <c:pt idx="4">
                  <c:v>10853</c:v>
                </c:pt>
              </c:numCache>
            </c:numRef>
          </c:val>
          <c:extLst>
            <c:ext xmlns:c16="http://schemas.microsoft.com/office/drawing/2014/chart" uri="{C3380CC4-5D6E-409C-BE32-E72D297353CC}">
              <c16:uniqueId val="{00000000-45AD-4A87-AE78-CBC0E58B911E}"/>
            </c:ext>
          </c:extLst>
        </c:ser>
        <c:dLbls>
          <c:showLegendKey val="0"/>
          <c:showVal val="1"/>
          <c:showCatName val="0"/>
          <c:showSerName val="0"/>
          <c:showPercent val="0"/>
          <c:showBubbleSize val="0"/>
          <c:showLeaderLines val="1"/>
        </c:dLbls>
        <c:firstSliceAng val="0"/>
      </c:pieChart>
    </c:plotArea>
    <c:plotVisOnly val="1"/>
    <c:dispBlanksAs val="zero"/>
    <c:showDLblsOverMax val="0"/>
  </c:chart>
  <c:txPr>
    <a:bodyPr/>
    <a:lstStyle/>
    <a:p>
      <a:pPr>
        <a:defRPr sz="1050">
          <a:latin typeface="Arial" panose="020B0604020202020204" pitchFamily="34" charset="0"/>
          <a:cs typeface="Arial" panose="020B0604020202020204" pitchFamily="34" charset="0"/>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3F2065-6513-4AAE-9B5A-AEF6DD87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4290</Words>
  <Characters>23597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5</cp:revision>
  <cp:lastPrinted>2023-07-19T21:00:00Z</cp:lastPrinted>
  <dcterms:created xsi:type="dcterms:W3CDTF">2023-07-12T21:51:00Z</dcterms:created>
  <dcterms:modified xsi:type="dcterms:W3CDTF">2023-07-19T21:00:00Z</dcterms:modified>
</cp:coreProperties>
</file>