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70" w:type="dxa"/>
          <w:right w:w="70" w:type="dxa"/>
        </w:tblCellMar>
        <w:tblLook w:val="04A0" w:firstRow="1" w:lastRow="0" w:firstColumn="1" w:lastColumn="0" w:noHBand="0" w:noVBand="1"/>
      </w:tblPr>
      <w:tblGrid>
        <w:gridCol w:w="2496"/>
        <w:gridCol w:w="1570"/>
        <w:gridCol w:w="1568"/>
        <w:gridCol w:w="1570"/>
        <w:gridCol w:w="1614"/>
      </w:tblGrid>
      <w:tr w:rsidR="00BB6B33" w:rsidRPr="00DA273F" w:rsidTr="00B84A2B">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MUNICIPIO DE ZAPOPAN, JALISCO.</w:t>
            </w:r>
          </w:p>
        </w:tc>
      </w:tr>
      <w:tr w:rsidR="00BB6B33" w:rsidRPr="00DA273F" w:rsidTr="00B84A2B">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7. A PROYECCIONES DE INGRESOS  - LDF</w:t>
            </w:r>
          </w:p>
        </w:tc>
      </w:tr>
      <w:tr w:rsidR="00BB6B33" w:rsidRPr="00DA273F" w:rsidTr="00B84A2B">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CIFRAS NOMINALES (PESOS)</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D9D9D9"/>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Concepto</w:t>
            </w:r>
          </w:p>
        </w:tc>
        <w:tc>
          <w:tcPr>
            <w:tcW w:w="890"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2023</w:t>
            </w:r>
          </w:p>
        </w:tc>
        <w:tc>
          <w:tcPr>
            <w:tcW w:w="889"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2024</w:t>
            </w:r>
          </w:p>
        </w:tc>
        <w:tc>
          <w:tcPr>
            <w:tcW w:w="890"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2025</w:t>
            </w:r>
          </w:p>
        </w:tc>
        <w:tc>
          <w:tcPr>
            <w:tcW w:w="914"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2026</w:t>
            </w:r>
          </w:p>
        </w:tc>
      </w:tr>
      <w:tr w:rsidR="00BB6B33" w:rsidRPr="00DA273F" w:rsidTr="00BB6B33">
        <w:trPr>
          <w:trHeight w:val="36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1. Ingresos de Libre Disposición (1=A+B+C+D+E+F+G+H+I+J+K+L)</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$8,287,400,170.00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$8,585,746,577.00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$8,969,529,448.00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$9,370,467,415.00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A. Impuestos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$3,267,161,004.00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$3,384,778,800.00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$3,536,078,412.00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$3,694,141,117.00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B. Cuotas y Aportaciones de Seguridad Social</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C. Contribuciones de Mejoras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$99,699,761.00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$103,288,952.00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$107,905,968.00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$112,729,365.00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D. Derechos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$694,438,242.00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$719,438,019.00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$751,596,898.00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$785,193,279.00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E. Productos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$70,495,246.00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$73,033,075.00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$76,297,653.00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$79,708,158.00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F. Aprovechamientos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$395,178,827.00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$409,405,265.00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$427,705,680.00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$446,824,124.00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G. Ingresos por Venta de Bienes y Prestación de Servicios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H. Participaciones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$3,016,169,089.00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$3,124,751,176.00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$3,264,427,554.00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$3,410,347,466.00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I. Incentivos Derivados de la Colaboración Fiscal</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$40,726,014.00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$42,192,151.00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$44,078,140.00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$46,048,433.00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J. Transferencias y Asignaciones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K. Convenios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L. Otros Ingresos de Libre Disposición</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$703,531,987.00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$728,859,139.00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$761,439,143.00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$795,475,473.00</w:t>
            </w:r>
          </w:p>
        </w:tc>
      </w:tr>
      <w:tr w:rsidR="00BB6B33" w:rsidRPr="00DA273F" w:rsidTr="00BB6B33">
        <w:trPr>
          <w:trHeight w:val="36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2. Transferencias Federales Etiquetadas (2=A+B+C+D+E)</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$1,320,010,739.00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$1,367,531,126.00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$1,428,659,767.00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$1,492,520,859.00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A. Aportaciones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$1,320,010,739.00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$1,367,531,126.00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$1,428,659,767.00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$1,492,520,859.00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B. Convenios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nil"/>
              <w:right w:val="single" w:sz="8" w:space="0" w:color="auto"/>
            </w:tcBorders>
            <w:shd w:val="clear" w:color="000000" w:fill="FFFFFF"/>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C. Fondos Distintos de Aportaciones</w:t>
            </w:r>
          </w:p>
        </w:tc>
        <w:tc>
          <w:tcPr>
            <w:tcW w:w="890" w:type="pct"/>
            <w:tcBorders>
              <w:top w:val="nil"/>
              <w:left w:val="nil"/>
              <w:bottom w:val="nil"/>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60"/>
        </w:trPr>
        <w:tc>
          <w:tcPr>
            <w:tcW w:w="1416" w:type="pct"/>
            <w:tcBorders>
              <w:top w:val="single" w:sz="8" w:space="0" w:color="000000"/>
              <w:left w:val="single" w:sz="8" w:space="0" w:color="000000"/>
              <w:bottom w:val="single" w:sz="8" w:space="0" w:color="000000"/>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D. Transferencias, Asignaciones, Subsidios y Subvenciones, y Pensiones y Jubilaciones</w:t>
            </w:r>
          </w:p>
        </w:tc>
        <w:tc>
          <w:tcPr>
            <w:tcW w:w="890" w:type="pct"/>
            <w:tcBorders>
              <w:top w:val="single" w:sz="8" w:space="0" w:color="000000"/>
              <w:left w:val="nil"/>
              <w:bottom w:val="single" w:sz="8" w:space="0" w:color="000000"/>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E.  Otras Transferencias Federales Etiquetadas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3. Ingresos Derivados de Financiamientos (3=A)</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A. Ingresos Derivados de Financiamientos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4. Total de Ingresos Proyectados (4=1+2+3)</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$9,607,410,909.00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$9,953,277,703.00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$10,398,189,215.00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$10,862,988,274.00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Datos Informativos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6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1. Ingresos Derivados de Financiamientos con Fuente de Pago de Recursos de Libre Disposición</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60"/>
        </w:trPr>
        <w:tc>
          <w:tcPr>
            <w:tcW w:w="1416" w:type="pct"/>
            <w:tcBorders>
              <w:top w:val="nil"/>
              <w:left w:val="single" w:sz="8" w:space="0" w:color="auto"/>
              <w:bottom w:val="single" w:sz="8" w:space="0" w:color="auto"/>
              <w:right w:val="single" w:sz="8" w:space="0" w:color="auto"/>
            </w:tcBorders>
            <w:shd w:val="clear" w:color="auto" w:fill="auto"/>
            <w:vAlign w:val="center"/>
            <w:hideMark/>
          </w:tcPr>
          <w:p w:rsidR="00BB6B33" w:rsidRPr="00DA273F" w:rsidRDefault="00BB6B33" w:rsidP="00B84A2B">
            <w:pPr>
              <w:rPr>
                <w:rFonts w:ascii="Arial" w:hAnsi="Arial" w:cs="Arial"/>
                <w:sz w:val="14"/>
                <w:szCs w:val="14"/>
                <w:lang w:val="es-MX" w:eastAsia="zh-CN"/>
              </w:rPr>
            </w:pPr>
            <w:r w:rsidRPr="00DA273F">
              <w:rPr>
                <w:rFonts w:ascii="Arial" w:hAnsi="Arial" w:cs="Arial"/>
                <w:sz w:val="14"/>
                <w:szCs w:val="14"/>
                <w:lang w:val="es-MX" w:eastAsia="zh-CN"/>
              </w:rPr>
              <w:t>2. Ingresos Derivados de Financiamientos con Fuente de Pago de Transferencias Federales Etiquetadas</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BB6B33" w:rsidRPr="00DA273F" w:rsidTr="00BB6B33">
        <w:trPr>
          <w:trHeight w:val="360"/>
        </w:trPr>
        <w:tc>
          <w:tcPr>
            <w:tcW w:w="1416" w:type="pct"/>
            <w:tcBorders>
              <w:top w:val="nil"/>
              <w:left w:val="single" w:sz="8" w:space="0" w:color="auto"/>
              <w:bottom w:val="single" w:sz="8" w:space="0" w:color="auto"/>
              <w:right w:val="single" w:sz="8" w:space="0" w:color="auto"/>
            </w:tcBorders>
            <w:shd w:val="clear" w:color="000000" w:fill="FFFFFF"/>
            <w:vAlign w:val="center"/>
            <w:hideMark/>
          </w:tcPr>
          <w:p w:rsidR="00BB6B33" w:rsidRPr="00DA273F" w:rsidRDefault="00BB6B33" w:rsidP="00B84A2B">
            <w:pPr>
              <w:rPr>
                <w:rFonts w:ascii="Arial" w:hAnsi="Arial" w:cs="Arial"/>
                <w:b/>
                <w:bCs/>
                <w:sz w:val="14"/>
                <w:szCs w:val="14"/>
                <w:lang w:val="es-MX" w:eastAsia="zh-CN"/>
              </w:rPr>
            </w:pPr>
            <w:r w:rsidRPr="00DA273F">
              <w:rPr>
                <w:rFonts w:ascii="Arial" w:hAnsi="Arial" w:cs="Arial"/>
                <w:b/>
                <w:bCs/>
                <w:sz w:val="14"/>
                <w:szCs w:val="14"/>
                <w:lang w:val="es-MX" w:eastAsia="zh-CN"/>
              </w:rPr>
              <w:t>3. Ingresos Derivados de Financiamiento (3 = 1 + 2)</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890"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$0.00</w:t>
            </w:r>
          </w:p>
        </w:tc>
      </w:tr>
      <w:tr w:rsidR="00BB6B33" w:rsidRPr="00DA273F" w:rsidTr="00BB6B33">
        <w:trPr>
          <w:trHeight w:val="300"/>
        </w:trPr>
        <w:tc>
          <w:tcPr>
            <w:tcW w:w="1416" w:type="pct"/>
            <w:tcBorders>
              <w:top w:val="nil"/>
              <w:left w:val="single" w:sz="8" w:space="0" w:color="auto"/>
              <w:bottom w:val="single" w:sz="8" w:space="0" w:color="auto"/>
              <w:right w:val="single" w:sz="8" w:space="0" w:color="auto"/>
            </w:tcBorders>
            <w:shd w:val="clear" w:color="000000" w:fill="D9D9D9"/>
            <w:vAlign w:val="center"/>
            <w:hideMark/>
          </w:tcPr>
          <w:p w:rsidR="00BB6B33" w:rsidRPr="00DA273F" w:rsidRDefault="00BB6B33" w:rsidP="00B84A2B">
            <w:pPr>
              <w:jc w:val="center"/>
              <w:rPr>
                <w:rFonts w:ascii="Arial" w:hAnsi="Arial" w:cs="Arial"/>
                <w:b/>
                <w:bCs/>
                <w:sz w:val="14"/>
                <w:szCs w:val="14"/>
                <w:lang w:val="es-MX" w:eastAsia="zh-CN"/>
              </w:rPr>
            </w:pPr>
            <w:r w:rsidRPr="00DA273F">
              <w:rPr>
                <w:rFonts w:ascii="Arial" w:hAnsi="Arial" w:cs="Arial"/>
                <w:b/>
                <w:bCs/>
                <w:sz w:val="14"/>
                <w:szCs w:val="14"/>
                <w:lang w:val="es-MX" w:eastAsia="zh-CN"/>
              </w:rPr>
              <w:t>TOTAL</w:t>
            </w:r>
          </w:p>
        </w:tc>
        <w:tc>
          <w:tcPr>
            <w:tcW w:w="890"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$9,607,410,909.00</w:t>
            </w:r>
          </w:p>
        </w:tc>
        <w:tc>
          <w:tcPr>
            <w:tcW w:w="889"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$9,953,277,703.00</w:t>
            </w:r>
          </w:p>
        </w:tc>
        <w:tc>
          <w:tcPr>
            <w:tcW w:w="890"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$10,398,189,215.00</w:t>
            </w:r>
          </w:p>
        </w:tc>
        <w:tc>
          <w:tcPr>
            <w:tcW w:w="914" w:type="pct"/>
            <w:tcBorders>
              <w:top w:val="nil"/>
              <w:left w:val="nil"/>
              <w:bottom w:val="single" w:sz="8" w:space="0" w:color="auto"/>
              <w:right w:val="single" w:sz="8" w:space="0" w:color="auto"/>
            </w:tcBorders>
            <w:shd w:val="clear" w:color="000000" w:fill="D9D9D9"/>
            <w:noWrap/>
            <w:vAlign w:val="center"/>
            <w:hideMark/>
          </w:tcPr>
          <w:p w:rsidR="00BB6B33" w:rsidRPr="00DA273F" w:rsidRDefault="00BB6B33" w:rsidP="00B84A2B">
            <w:pPr>
              <w:jc w:val="right"/>
              <w:rPr>
                <w:rFonts w:ascii="Arial" w:hAnsi="Arial" w:cs="Arial"/>
                <w:b/>
                <w:bCs/>
                <w:sz w:val="14"/>
                <w:szCs w:val="14"/>
                <w:lang w:val="es-MX" w:eastAsia="zh-CN"/>
              </w:rPr>
            </w:pPr>
            <w:r w:rsidRPr="00DA273F">
              <w:rPr>
                <w:rFonts w:ascii="Arial" w:hAnsi="Arial" w:cs="Arial"/>
                <w:b/>
                <w:bCs/>
                <w:sz w:val="14"/>
                <w:szCs w:val="14"/>
                <w:lang w:val="es-MX" w:eastAsia="zh-CN"/>
              </w:rPr>
              <w:t>$10,862,988,274.00</w:t>
            </w:r>
          </w:p>
        </w:tc>
      </w:tr>
    </w:tbl>
    <w:p w:rsidR="00BB6B33" w:rsidRPr="00DA273F" w:rsidRDefault="00BB6B33" w:rsidP="00BB6B33">
      <w:pPr>
        <w:jc w:val="both"/>
        <w:rPr>
          <w:rFonts w:ascii="Arial" w:hAnsi="Arial" w:cs="Arial"/>
          <w:sz w:val="16"/>
        </w:rPr>
      </w:pPr>
      <w:r w:rsidRPr="00DA273F">
        <w:rPr>
          <w:rFonts w:ascii="Arial" w:hAnsi="Arial" w:cs="Arial"/>
          <w:sz w:val="16"/>
        </w:rPr>
        <w:t>Fuente: Tesorería Municipal. Nota metodológica: estimaciones realizadas con información de la “Encuesta sobre las Expectativas de los Especialistas en Economía del Sector Privado” realizada por el Banco de México en enero 2022, en la cual se estima en 2024 un crecimiento inflacionario de 3.60% y para 2025 y 2026 se estima un crecimiento de 4.47% con base al promedio inflacionario de los 4 años previos calculado por la SHCP en los Pre-Criterios de Política Económica 2023. Recuperado de:</w:t>
      </w:r>
    </w:p>
    <w:p w:rsidR="00BB6B33" w:rsidRPr="00DA273F" w:rsidRDefault="00BB6B33" w:rsidP="00BB6B33">
      <w:pPr>
        <w:pStyle w:val="Prrafodelista"/>
        <w:numPr>
          <w:ilvl w:val="0"/>
          <w:numId w:val="1"/>
        </w:numPr>
        <w:jc w:val="both"/>
        <w:rPr>
          <w:rFonts w:ascii="Arial" w:hAnsi="Arial" w:cs="Arial"/>
          <w:sz w:val="16"/>
          <w:lang w:eastAsia="es-MX"/>
        </w:rPr>
      </w:pPr>
      <w:hyperlink r:id="rId5" w:history="1">
        <w:r w:rsidRPr="00DA273F">
          <w:rPr>
            <w:rStyle w:val="Hipervnculo"/>
            <w:rFonts w:ascii="Arial" w:hAnsi="Arial" w:cs="Arial"/>
            <w:sz w:val="16"/>
            <w:lang w:eastAsia="es-MX"/>
          </w:rPr>
          <w:t>https://www.banxico.org.mx/publicaciones-y-prensa/encuestas-sobre-las-expectativas-de-los-especialis/%7BDAEF415B-4E6F-451B-2D1F-BD55E968C5A0%7D.pdf</w:t>
        </w:r>
      </w:hyperlink>
    </w:p>
    <w:p w:rsidR="00BB6B33" w:rsidRPr="00DA273F" w:rsidRDefault="00BB6B33" w:rsidP="00BB6B33">
      <w:pPr>
        <w:pStyle w:val="Prrafodelista"/>
        <w:numPr>
          <w:ilvl w:val="0"/>
          <w:numId w:val="1"/>
        </w:numPr>
        <w:jc w:val="both"/>
        <w:rPr>
          <w:rFonts w:ascii="Arial" w:hAnsi="Arial" w:cs="Arial"/>
          <w:sz w:val="16"/>
          <w:lang w:eastAsia="es-MX"/>
        </w:rPr>
      </w:pPr>
      <w:hyperlink r:id="rId6" w:history="1">
        <w:r w:rsidRPr="00DA273F">
          <w:rPr>
            <w:rStyle w:val="Hipervnculo"/>
            <w:rFonts w:ascii="Arial" w:hAnsi="Arial" w:cs="Arial"/>
            <w:sz w:val="16"/>
            <w:lang w:eastAsia="es-MX"/>
          </w:rPr>
          <w:t>https://www.finanzaspublicas.hacienda.gob.mx/work/models/Finanzas_Publicas/docs/paquete_economico/precgpe/precgpe_2023.pdf</w:t>
        </w:r>
      </w:hyperlink>
    </w:p>
    <w:p w:rsidR="006B4654" w:rsidRDefault="00BB6B33">
      <w:bookmarkStart w:id="0" w:name="_GoBack"/>
      <w:bookmarkEnd w:id="0"/>
    </w:p>
    <w:sectPr w:rsidR="006B4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35"/>
    <w:multiLevelType w:val="hybridMultilevel"/>
    <w:tmpl w:val="8C9EF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33"/>
    <w:rsid w:val="00050235"/>
    <w:rsid w:val="00657AA9"/>
    <w:rsid w:val="00BB6B3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5D9A-9F30-4BCA-A83C-F034DBE1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3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B6B33"/>
    <w:pPr>
      <w:ind w:left="708"/>
    </w:pPr>
  </w:style>
  <w:style w:type="character" w:styleId="Hipervnculo">
    <w:name w:val="Hyperlink"/>
    <w:uiPriority w:val="99"/>
    <w:unhideWhenUsed/>
    <w:qFormat/>
    <w:rsid w:val="00BB6B33"/>
    <w:rPr>
      <w:color w:val="0563C1"/>
      <w:u w:val="single"/>
    </w:rPr>
  </w:style>
  <w:style w:type="character" w:customStyle="1" w:styleId="PrrafodelistaCar">
    <w:name w:val="Párrafo de lista Car"/>
    <w:link w:val="Prrafodelista"/>
    <w:uiPriority w:val="34"/>
    <w:locked/>
    <w:rsid w:val="00BB6B3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zaspublicas.hacienda.gob.mx/work/models/Finanzas_Publicas/docs/paquete_economico/precgpe/precgpe_2023.pdf" TargetMode="External"/><Relationship Id="rId5" Type="http://schemas.openxmlformats.org/officeDocument/2006/relationships/hyperlink" Target="https://www.banxico.org.mx/publicaciones-y-prensa/encuestas-sobre-las-expectativas-de-los-especialis/%7BDAEF415B-4E6F-451B-2D1F-BD55E968C5A0%7D.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Sebastian Salas Valdez</dc:creator>
  <cp:keywords/>
  <dc:description/>
  <cp:lastModifiedBy>Alan Sebastian Salas Valdez</cp:lastModifiedBy>
  <cp:revision>1</cp:revision>
  <dcterms:created xsi:type="dcterms:W3CDTF">2023-08-07T22:10:00Z</dcterms:created>
  <dcterms:modified xsi:type="dcterms:W3CDTF">2023-08-07T22:10:00Z</dcterms:modified>
</cp:coreProperties>
</file>