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B64" w:rsidRDefault="00D97B64" w:rsidP="00AC3987">
      <w:pPr>
        <w:spacing w:after="0"/>
        <w:jc w:val="center"/>
        <w:rPr>
          <w:b/>
        </w:rPr>
      </w:pPr>
      <w:r w:rsidRPr="00D97B64">
        <w:rPr>
          <w:b/>
        </w:rPr>
        <w:t>Lineamientos técnicos generales para la publicación, homologación y estandarización de la información de las obligaciones establecidas en el título quinto y en la fracción IV del artículo 31 de la Ley General de Transparencia y Acceso a la Información Pública, que deben de difundir los sujetos obligados en los portales de Internet y en la Plataforma Nacional de Transparencia</w:t>
      </w:r>
      <w:r w:rsidR="000F65FC">
        <w:rPr>
          <w:b/>
        </w:rPr>
        <w:t>.</w:t>
      </w:r>
    </w:p>
    <w:p w:rsidR="000F65FC" w:rsidRDefault="000F65FC" w:rsidP="00AC3987">
      <w:pPr>
        <w:spacing w:after="0"/>
        <w:jc w:val="center"/>
        <w:rPr>
          <w:b/>
        </w:rPr>
      </w:pPr>
    </w:p>
    <w:p w:rsidR="00AC3987" w:rsidRPr="00D97B64" w:rsidRDefault="00AC3987" w:rsidP="00AC3987">
      <w:pPr>
        <w:spacing w:after="0"/>
        <w:jc w:val="center"/>
        <w:rPr>
          <w:b/>
        </w:rPr>
      </w:pPr>
    </w:p>
    <w:p w:rsidR="00D97B64" w:rsidRDefault="00D97B64" w:rsidP="00AC3987">
      <w:pPr>
        <w:spacing w:after="0"/>
        <w:jc w:val="center"/>
        <w:rPr>
          <w:b/>
        </w:rPr>
      </w:pPr>
      <w:r w:rsidRPr="00D97B64">
        <w:rPr>
          <w:b/>
        </w:rPr>
        <w:t>CAPÍTULO II. DE LAS POLÍTICAS GENERALES QUE ORIENTARÁN LA PUBLICIDAD Y ACTUALIZACIÓN DE LA INFORMACIÓN QUE GENEREN LOS SUJETOS OBLIGADOS</w:t>
      </w:r>
    </w:p>
    <w:p w:rsidR="00D97B64" w:rsidRDefault="00D97B64" w:rsidP="00AC3987">
      <w:pPr>
        <w:spacing w:after="0"/>
        <w:jc w:val="both"/>
      </w:pPr>
      <w:r w:rsidRPr="00D97B64">
        <w:rPr>
          <w:b/>
        </w:rPr>
        <w:t>Tercero.</w:t>
      </w:r>
      <w:r>
        <w:t xml:space="preserve"> Las Políticas Generales para la publicidad y actualización de la información que poseen los sujetos obligados se fundamentan en las disposiciones de la Ley General, en particular en el Capítulo I del Título Quint</w:t>
      </w:r>
      <w:r w:rsidRPr="00AC3987">
        <w:t>o, y tienen como objeto establecer las pautas para la organización, difusión y actualización de la información derivada de las obligaciones de transparencia de los sujetos obligados.</w:t>
      </w:r>
    </w:p>
    <w:p w:rsidR="00D97B64" w:rsidRPr="00AC3987" w:rsidRDefault="00D97B64" w:rsidP="00AC3987">
      <w:pPr>
        <w:spacing w:after="0"/>
        <w:jc w:val="both"/>
      </w:pPr>
      <w:r w:rsidRPr="00AC3987">
        <w:t>(…)</w:t>
      </w:r>
    </w:p>
    <w:p w:rsidR="003F1D97" w:rsidRDefault="003F1D97" w:rsidP="00AC3987">
      <w:pPr>
        <w:spacing w:after="0"/>
        <w:jc w:val="both"/>
      </w:pPr>
      <w:r w:rsidRPr="00AC3987">
        <w:rPr>
          <w:b/>
        </w:rPr>
        <w:t>Décimo.</w:t>
      </w:r>
      <w:r>
        <w:t xml:space="preserve"> Las políticas para la distribución de competencias y responsabilidades para la carga de la información prescrita en el Título Quinto de la Ley General en la Plataforma Nacional son las siguientes:</w:t>
      </w:r>
    </w:p>
    <w:p w:rsidR="000F65FC" w:rsidRDefault="00D97B64" w:rsidP="00AC3987">
      <w:pPr>
        <w:spacing w:after="0"/>
        <w:jc w:val="both"/>
      </w:pPr>
      <w:r>
        <w:t>I. (…)</w:t>
      </w:r>
      <w:bookmarkStart w:id="0" w:name="_GoBack"/>
      <w:bookmarkEnd w:id="0"/>
    </w:p>
    <w:p w:rsidR="00D97B64" w:rsidRPr="00D97B64" w:rsidRDefault="00D97B64" w:rsidP="00AC3987">
      <w:pPr>
        <w:spacing w:after="0"/>
        <w:jc w:val="both"/>
        <w:rPr>
          <w:b/>
        </w:rPr>
      </w:pPr>
      <w:r w:rsidRPr="00AC3987">
        <w:rPr>
          <w:b/>
        </w:rPr>
        <w:t>VIII.</w:t>
      </w:r>
      <w:r>
        <w:t xml:space="preserve"> Cuando se requiera la publicación de las fuentes primarias de información, los sujetos obligados deberán asegurarse de que se publica la copia fiel de la versión definitiva o la versión electrónica del documento original y, en caso de incluirse en formato PDF (por sus siglas en inglés Portable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 w:rsidR="004604D5">
        <w:t xml:space="preserve"> </w:t>
      </w:r>
      <w:r>
        <w:t xml:space="preserve">Formato Portátil de Documento), con reconocimiento de caracteres y/o considerar una versión o formato que permita su reutilización, siempre y cuando la naturaleza del documento primario lo permita. </w:t>
      </w:r>
      <w:r w:rsidRPr="00D97B64">
        <w:rPr>
          <w:b/>
        </w:rPr>
        <w:t>Los documentos publicados deberán contener los medios que den certeza jurídica a los mismos tales como firmas, sellos, rúbricas, entre otros, según corresponda.</w:t>
      </w:r>
    </w:p>
    <w:p w:rsidR="00D97B64" w:rsidRDefault="00D97B64" w:rsidP="00AC3987">
      <w:pPr>
        <w:spacing w:after="0"/>
      </w:pPr>
    </w:p>
    <w:p w:rsidR="00D97B64" w:rsidRDefault="00D97B64" w:rsidP="00AC3987">
      <w:pPr>
        <w:spacing w:after="0"/>
        <w:jc w:val="center"/>
        <w:rPr>
          <w:b/>
        </w:rPr>
      </w:pPr>
      <w:r w:rsidRPr="00D97B64">
        <w:rPr>
          <w:b/>
        </w:rPr>
        <w:t>CAPÍTULO III. DE LOS CRITERIOS PARA LA GENERACIÓN DE INFORMACIÓN BAJO EL ENFOQUE DE DATOS ABIERTOS</w:t>
      </w:r>
    </w:p>
    <w:p w:rsidR="00D97B64" w:rsidRDefault="00D97B64" w:rsidP="00AC3987">
      <w:pPr>
        <w:spacing w:after="0"/>
        <w:jc w:val="both"/>
      </w:pPr>
      <w:r w:rsidRPr="00AC3987">
        <w:rPr>
          <w:b/>
        </w:rPr>
        <w:t>Décimo tercero.</w:t>
      </w:r>
      <w:r>
        <w:t xml:space="preserve"> La información publicada por los sujetos obligados deberá ofrecerse en un formato que permita su reutilización por las personas usuarias y por las computadoras y/o dispositivos electrónicos, es decir, presentarse mediante el enfoque de datos abiertos y en concordancia con la Política Nacional de Datos Abiertos, para lograr la disponibilidad y aprovechamiento de los datos generados y/o en poder de los sujetos obligados por parte de la sociedad.</w:t>
      </w:r>
    </w:p>
    <w:p w:rsidR="00D97B64" w:rsidRPr="00AC3987" w:rsidRDefault="00D97B64" w:rsidP="00AC3987">
      <w:pPr>
        <w:spacing w:after="0"/>
        <w:jc w:val="both"/>
      </w:pPr>
      <w:r w:rsidRPr="00AC3987">
        <w:t>(…)</w:t>
      </w:r>
    </w:p>
    <w:p w:rsidR="00D97B64" w:rsidRPr="00D97B64" w:rsidRDefault="00D97B64" w:rsidP="00AC3987">
      <w:pPr>
        <w:spacing w:after="0"/>
        <w:jc w:val="both"/>
        <w:rPr>
          <w:b/>
        </w:rPr>
      </w:pPr>
      <w:r w:rsidRPr="00AC3987">
        <w:rPr>
          <w:b/>
        </w:rPr>
        <w:t>II.</w:t>
      </w:r>
      <w:r>
        <w:t xml:space="preserve"> Cuando se trate de documentos que deben difundirse con firmas y son publicados en formato PDF (formato de documento portátil por sus siglas en inglés Portable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>), se deberá incluir, adicionalmente, una versión en un formato que permita utilizar o manejar nuevamente la información, tal como documentos en formato predeterminado de Open Office u Open XML de Microsoft Office (con extensiones .Docx, .Xlsx y .</w:t>
      </w:r>
      <w:proofErr w:type="spellStart"/>
      <w:r>
        <w:t>Pptx</w:t>
      </w:r>
      <w:proofErr w:type="spellEnd"/>
      <w:r>
        <w:t>), y si se usa formato PDF debe contener reconocimiento de texto, siempre y cuando la naturaleza del documento primario lo permita, entre otros;</w:t>
      </w:r>
    </w:p>
    <w:sectPr w:rsidR="00D97B64" w:rsidRPr="00D97B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1E"/>
    <w:rsid w:val="000F65FC"/>
    <w:rsid w:val="00257246"/>
    <w:rsid w:val="003F1D97"/>
    <w:rsid w:val="003F3D75"/>
    <w:rsid w:val="004511E0"/>
    <w:rsid w:val="0045187A"/>
    <w:rsid w:val="004604D5"/>
    <w:rsid w:val="004E7E50"/>
    <w:rsid w:val="00730C1E"/>
    <w:rsid w:val="0078272C"/>
    <w:rsid w:val="00AC3987"/>
    <w:rsid w:val="00C26255"/>
    <w:rsid w:val="00D97B64"/>
    <w:rsid w:val="00F4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4707"/>
  <w15:chartTrackingRefBased/>
  <w15:docId w15:val="{5FEF0DD2-6A71-4B06-98A4-A448E113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Selene Aceves Ramirez</dc:creator>
  <cp:keywords/>
  <dc:description/>
  <cp:lastModifiedBy>Mildred Gonzalez Rubio</cp:lastModifiedBy>
  <cp:revision>3</cp:revision>
  <dcterms:created xsi:type="dcterms:W3CDTF">2025-10-08T19:35:00Z</dcterms:created>
  <dcterms:modified xsi:type="dcterms:W3CDTF">2025-10-08T19:55:00Z</dcterms:modified>
</cp:coreProperties>
</file>