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1EE79" w14:textId="77777777" w:rsidR="00D64E14" w:rsidRDefault="00D64E14" w:rsidP="00D64E14"/>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64E14" w:rsidRPr="001F64EE" w14:paraId="49B0920C" w14:textId="77777777" w:rsidTr="00EF3CAC">
        <w:tc>
          <w:tcPr>
            <w:tcW w:w="9039" w:type="dxa"/>
          </w:tcPr>
          <w:p w14:paraId="48B6582C" w14:textId="77777777" w:rsidR="00D64E14" w:rsidRPr="00220D09" w:rsidRDefault="00D64E14" w:rsidP="00EF3CAC">
            <w:pPr>
              <w:pStyle w:val="Ttulo2"/>
              <w:spacing w:before="0" w:line="240" w:lineRule="auto"/>
              <w:jc w:val="center"/>
              <w:rPr>
                <w:rFonts w:ascii="Arial" w:hAnsi="Arial" w:cs="Arial"/>
                <w:b/>
                <w:color w:val="auto"/>
              </w:rPr>
            </w:pPr>
            <w:r w:rsidRPr="00220D09">
              <w:rPr>
                <w:rFonts w:ascii="Arial" w:hAnsi="Arial" w:cs="Arial"/>
                <w:b/>
                <w:color w:val="auto"/>
              </w:rPr>
              <w:t>MUNICIPIO ZAPOPAN</w:t>
            </w:r>
          </w:p>
          <w:p w14:paraId="16615D03" w14:textId="77777777" w:rsidR="00D64E14" w:rsidRPr="00220D09" w:rsidRDefault="00D64E14" w:rsidP="00EF3CAC">
            <w:pPr>
              <w:pStyle w:val="Ttulo2"/>
              <w:spacing w:before="0" w:line="240" w:lineRule="auto"/>
              <w:jc w:val="center"/>
              <w:rPr>
                <w:rFonts w:ascii="Arial" w:hAnsi="Arial" w:cs="Arial"/>
                <w:b/>
                <w:color w:val="auto"/>
              </w:rPr>
            </w:pPr>
            <w:r w:rsidRPr="00220D09">
              <w:rPr>
                <w:rFonts w:ascii="Arial" w:hAnsi="Arial" w:cs="Arial"/>
                <w:b/>
                <w:color w:val="auto"/>
              </w:rPr>
              <w:t>NOTAS A LOS ESTADOS FINANCIEROS</w:t>
            </w:r>
          </w:p>
          <w:p w14:paraId="303A0B71" w14:textId="77777777" w:rsidR="00D64E14" w:rsidRPr="00220D09" w:rsidRDefault="00D64E14" w:rsidP="00EF3CAC">
            <w:pPr>
              <w:pStyle w:val="Ttulo2"/>
              <w:spacing w:before="0" w:line="240" w:lineRule="auto"/>
              <w:jc w:val="center"/>
              <w:rPr>
                <w:rFonts w:ascii="Arial" w:hAnsi="Arial" w:cs="Arial"/>
                <w:b/>
                <w:color w:val="auto"/>
              </w:rPr>
            </w:pPr>
            <w:r w:rsidRPr="00220D09">
              <w:rPr>
                <w:rFonts w:ascii="Arial" w:hAnsi="Arial" w:cs="Arial"/>
                <w:b/>
                <w:color w:val="auto"/>
              </w:rPr>
              <w:t>DE GESTIÓN ADMINISTRATIVA</w:t>
            </w:r>
          </w:p>
          <w:p w14:paraId="3DD5AF3D" w14:textId="6A1A2EAD" w:rsidR="00D64E14" w:rsidRPr="001F64EE" w:rsidRDefault="00D64E14" w:rsidP="00EF3CAC">
            <w:pPr>
              <w:pStyle w:val="Ttulo2"/>
              <w:spacing w:before="0" w:line="240" w:lineRule="auto"/>
              <w:jc w:val="center"/>
              <w:rPr>
                <w:color w:val="auto"/>
              </w:rPr>
            </w:pPr>
            <w:bookmarkStart w:id="0" w:name="periodo"/>
            <w:bookmarkEnd w:id="0"/>
            <w:r w:rsidRPr="00220D09">
              <w:rPr>
                <w:rFonts w:ascii="Arial" w:hAnsi="Arial" w:cs="Arial"/>
                <w:b/>
                <w:color w:val="auto"/>
              </w:rPr>
              <w:t xml:space="preserve">DEL 1 DE ENERO AL </w:t>
            </w:r>
            <w:r>
              <w:rPr>
                <w:rFonts w:ascii="Arial" w:hAnsi="Arial" w:cs="Arial"/>
                <w:b/>
                <w:color w:val="auto"/>
              </w:rPr>
              <w:t>3</w:t>
            </w:r>
            <w:r w:rsidR="00D57A8F">
              <w:rPr>
                <w:rFonts w:ascii="Arial" w:hAnsi="Arial" w:cs="Arial"/>
                <w:b/>
                <w:color w:val="auto"/>
              </w:rPr>
              <w:t>1</w:t>
            </w:r>
            <w:r>
              <w:rPr>
                <w:rFonts w:ascii="Arial" w:hAnsi="Arial" w:cs="Arial"/>
                <w:b/>
                <w:color w:val="auto"/>
              </w:rPr>
              <w:t xml:space="preserve"> DE </w:t>
            </w:r>
            <w:r w:rsidR="00D1714D">
              <w:rPr>
                <w:rFonts w:ascii="Arial" w:hAnsi="Arial" w:cs="Arial"/>
                <w:b/>
                <w:color w:val="auto"/>
              </w:rPr>
              <w:t>DICIEMBRE</w:t>
            </w:r>
            <w:r>
              <w:rPr>
                <w:rFonts w:ascii="Arial" w:hAnsi="Arial" w:cs="Arial"/>
                <w:b/>
                <w:color w:val="auto"/>
              </w:rPr>
              <w:t xml:space="preserve"> 2025</w:t>
            </w:r>
          </w:p>
        </w:tc>
      </w:tr>
    </w:tbl>
    <w:p w14:paraId="15DFBCDD" w14:textId="77777777" w:rsidR="00D64E14" w:rsidRPr="006C59FB" w:rsidRDefault="00D64E14" w:rsidP="00D64E14">
      <w:pPr>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0"/>
        <w:gridCol w:w="1257"/>
        <w:gridCol w:w="3841"/>
        <w:gridCol w:w="239"/>
      </w:tblGrid>
      <w:tr w:rsidR="00D64E14" w:rsidRPr="006C59FB" w14:paraId="66291ABE" w14:textId="77777777" w:rsidTr="00EF3CAC">
        <w:trPr>
          <w:trHeight w:val="992"/>
        </w:trPr>
        <w:tc>
          <w:tcPr>
            <w:tcW w:w="5000" w:type="pct"/>
            <w:gridSpan w:val="4"/>
          </w:tcPr>
          <w:p w14:paraId="435D3058" w14:textId="77777777" w:rsidR="00D64E14" w:rsidRPr="00B408BA" w:rsidRDefault="00D64E14" w:rsidP="00EF3CAC">
            <w:pPr>
              <w:spacing w:after="0" w:line="240" w:lineRule="auto"/>
              <w:jc w:val="center"/>
              <w:rPr>
                <w:rFonts w:ascii="Arial" w:hAnsi="Arial" w:cs="Arial"/>
                <w:b/>
                <w:sz w:val="24"/>
                <w:szCs w:val="24"/>
                <w:lang w:eastAsia="es-MX"/>
              </w:rPr>
            </w:pPr>
            <w:bookmarkStart w:id="1" w:name="cuerpo"/>
            <w:bookmarkEnd w:id="1"/>
            <w:r w:rsidRPr="00B408BA">
              <w:rPr>
                <w:rFonts w:ascii="Arial" w:hAnsi="Arial" w:cs="Arial"/>
                <w:b/>
                <w:sz w:val="24"/>
                <w:szCs w:val="24"/>
                <w:lang w:eastAsia="es-MX"/>
              </w:rPr>
              <w:t>NOTAS A LOS ESTADOS FINANCIEROS</w:t>
            </w:r>
          </w:p>
          <w:p w14:paraId="69147370" w14:textId="5B14C636" w:rsidR="00D64E14" w:rsidRPr="00B408BA" w:rsidRDefault="00D64E14" w:rsidP="00EF3CAC">
            <w:pPr>
              <w:spacing w:after="0" w:line="240" w:lineRule="auto"/>
              <w:jc w:val="center"/>
              <w:rPr>
                <w:rFonts w:ascii="Arial" w:hAnsi="Arial" w:cs="Arial"/>
                <w:b/>
                <w:sz w:val="24"/>
                <w:szCs w:val="24"/>
                <w:lang w:eastAsia="es-MX"/>
              </w:rPr>
            </w:pPr>
            <w:r w:rsidRPr="00B408BA">
              <w:rPr>
                <w:rFonts w:ascii="Arial" w:hAnsi="Arial" w:cs="Arial"/>
                <w:b/>
                <w:sz w:val="24"/>
                <w:szCs w:val="24"/>
                <w:lang w:eastAsia="es-MX"/>
              </w:rPr>
              <w:t xml:space="preserve">ENERO – </w:t>
            </w:r>
            <w:r w:rsidR="00D1714D">
              <w:rPr>
                <w:rFonts w:ascii="Arial" w:hAnsi="Arial" w:cs="Arial"/>
                <w:b/>
                <w:sz w:val="24"/>
                <w:szCs w:val="24"/>
                <w:lang w:eastAsia="es-MX"/>
              </w:rPr>
              <w:t>DIC</w:t>
            </w:r>
            <w:r w:rsidRPr="00B408BA">
              <w:rPr>
                <w:rFonts w:ascii="Arial" w:hAnsi="Arial" w:cs="Arial"/>
                <w:b/>
                <w:sz w:val="24"/>
                <w:szCs w:val="24"/>
                <w:lang w:eastAsia="es-MX"/>
              </w:rPr>
              <w:t>IEMBRE 2025</w:t>
            </w:r>
          </w:p>
          <w:p w14:paraId="509D76DD" w14:textId="77777777" w:rsidR="00D64E14" w:rsidRDefault="00D64E14" w:rsidP="00EF3CAC">
            <w:pPr>
              <w:spacing w:after="0" w:line="240" w:lineRule="auto"/>
              <w:jc w:val="center"/>
              <w:rPr>
                <w:rFonts w:ascii="Arial" w:hAnsi="Arial" w:cs="Arial"/>
                <w:b/>
                <w:bCs/>
                <w:sz w:val="24"/>
                <w:szCs w:val="24"/>
                <w:lang w:eastAsia="es-MX"/>
              </w:rPr>
            </w:pPr>
            <w:r w:rsidRPr="00B408BA">
              <w:rPr>
                <w:rFonts w:ascii="Arial" w:hAnsi="Arial" w:cs="Arial"/>
                <w:b/>
                <w:bCs/>
                <w:sz w:val="24"/>
                <w:szCs w:val="24"/>
                <w:lang w:eastAsia="es-MX"/>
              </w:rPr>
              <w:t>C)</w:t>
            </w:r>
            <w:r w:rsidRPr="00B408BA">
              <w:rPr>
                <w:rFonts w:ascii="Arial" w:hAnsi="Arial" w:cs="Arial"/>
                <w:b/>
                <w:bCs/>
                <w:sz w:val="24"/>
                <w:szCs w:val="24"/>
                <w:lang w:eastAsia="es-MX"/>
              </w:rPr>
              <w:tab/>
              <w:t>Notas de Gestión Administrativa.</w:t>
            </w:r>
          </w:p>
          <w:p w14:paraId="531EB717" w14:textId="77777777" w:rsidR="00D57A8F" w:rsidRPr="00B408BA" w:rsidRDefault="00D57A8F" w:rsidP="00EF3CAC">
            <w:pPr>
              <w:spacing w:after="0" w:line="240" w:lineRule="auto"/>
              <w:jc w:val="center"/>
              <w:rPr>
                <w:rFonts w:ascii="Arial" w:hAnsi="Arial" w:cs="Arial"/>
                <w:b/>
                <w:bCs/>
                <w:sz w:val="24"/>
                <w:szCs w:val="24"/>
                <w:lang w:eastAsia="es-MX"/>
              </w:rPr>
            </w:pPr>
          </w:p>
          <w:p w14:paraId="43E5DAB2" w14:textId="77777777" w:rsidR="00D64E14" w:rsidRPr="00B408BA" w:rsidRDefault="00D64E14" w:rsidP="00EF3CAC">
            <w:pPr>
              <w:spacing w:after="0"/>
              <w:jc w:val="both"/>
              <w:rPr>
                <w:bCs/>
                <w:lang w:eastAsia="es-MX"/>
              </w:rPr>
            </w:pPr>
          </w:p>
          <w:p w14:paraId="6403B368" w14:textId="77777777" w:rsidR="00D64E14" w:rsidRPr="00B408BA" w:rsidRDefault="00D64E14" w:rsidP="00D64E14">
            <w:pPr>
              <w:pStyle w:val="Subttulo"/>
              <w:numPr>
                <w:ilvl w:val="0"/>
                <w:numId w:val="6"/>
              </w:numPr>
              <w:spacing w:after="0"/>
              <w:rPr>
                <w:lang w:eastAsia="es-MX"/>
              </w:rPr>
            </w:pPr>
            <w:r w:rsidRPr="00B408BA">
              <w:rPr>
                <w:lang w:eastAsia="es-MX"/>
              </w:rPr>
              <w:t>Introducción.</w:t>
            </w:r>
          </w:p>
          <w:p w14:paraId="7D068753" w14:textId="77777777" w:rsidR="00D64E14" w:rsidRPr="00B408BA" w:rsidRDefault="00D64E14" w:rsidP="00EF3CAC">
            <w:pPr>
              <w:spacing w:after="0" w:line="360" w:lineRule="auto"/>
              <w:jc w:val="both"/>
              <w:rPr>
                <w:lang w:eastAsia="es-MX"/>
              </w:rPr>
            </w:pPr>
            <w:r w:rsidRPr="00B408BA">
              <w:rPr>
                <w:lang w:eastAsia="es-MX"/>
              </w:rPr>
              <w:t>Los Estados Financieros del Ayuntamiento del Municipio de Zapopan, proveen de información financiera a los principales usuarios de la misma, al Congreso del Estado, la Auditoria Superior del Estado de Jalisco y a la ciudadanía en general.</w:t>
            </w:r>
          </w:p>
          <w:p w14:paraId="7E828697" w14:textId="77777777" w:rsidR="00D64E14" w:rsidRPr="00B408BA" w:rsidRDefault="00D64E14" w:rsidP="00EF3CAC">
            <w:pPr>
              <w:spacing w:after="0"/>
              <w:jc w:val="both"/>
              <w:rPr>
                <w:lang w:eastAsia="es-MX"/>
              </w:rPr>
            </w:pPr>
          </w:p>
          <w:p w14:paraId="70725067" w14:textId="77777777" w:rsidR="00D64E14" w:rsidRPr="00B408BA" w:rsidRDefault="00D64E14" w:rsidP="00EF3CAC">
            <w:pPr>
              <w:spacing w:after="0" w:line="360" w:lineRule="auto"/>
              <w:jc w:val="both"/>
              <w:rPr>
                <w:lang w:eastAsia="es-MX"/>
              </w:rPr>
            </w:pPr>
            <w:r w:rsidRPr="00B408BA">
              <w:rPr>
                <w:lang w:eastAsia="es-MX"/>
              </w:rPr>
              <w:t>El presente documento consta de dos partes y tiene como objetivo establecer la revelación de los aspectos económicos-financieros globales y de contexto más relevantes que influyeron en las decisiones financieras del período, que deberán ser considerados en la elaboración de los estados financieros para la mayor comprensión de los mismos y sus particularidades.</w:t>
            </w:r>
          </w:p>
          <w:p w14:paraId="6C8381DE" w14:textId="77777777" w:rsidR="00D64E14" w:rsidRPr="00B408BA" w:rsidRDefault="00D64E14" w:rsidP="00EF3CAC">
            <w:pPr>
              <w:spacing w:after="0"/>
              <w:jc w:val="both"/>
              <w:rPr>
                <w:lang w:eastAsia="es-MX"/>
              </w:rPr>
            </w:pPr>
          </w:p>
          <w:p w14:paraId="0C1A04A2" w14:textId="77777777" w:rsidR="00D64E14" w:rsidRPr="00B408BA" w:rsidRDefault="00D64E14" w:rsidP="00EF3CAC">
            <w:pPr>
              <w:spacing w:after="0" w:line="360" w:lineRule="auto"/>
              <w:jc w:val="both"/>
              <w:rPr>
                <w:lang w:eastAsia="es-MX"/>
              </w:rPr>
            </w:pPr>
            <w:r w:rsidRPr="00B408BA">
              <w:rPr>
                <w:lang w:eastAsia="es-MX"/>
              </w:rPr>
              <w:t>De esta manera, se informa y explica la respuesta del Ayuntamiento del Municipio de Zapopan a las condiciones relacionadas con la información financiera de cada período de gestión; además, de exponer aquellas políticas que podrían afectar la toma de decisiones en períodos posteriores.</w:t>
            </w:r>
          </w:p>
          <w:p w14:paraId="10E36238" w14:textId="77777777" w:rsidR="00D57A8F" w:rsidRDefault="00D57A8F" w:rsidP="00D57A8F">
            <w:pPr>
              <w:pStyle w:val="Subttulo"/>
              <w:numPr>
                <w:ilvl w:val="0"/>
                <w:numId w:val="0"/>
              </w:numPr>
              <w:spacing w:after="0"/>
              <w:ind w:left="1080"/>
              <w:rPr>
                <w:lang w:eastAsia="es-MX"/>
              </w:rPr>
            </w:pPr>
          </w:p>
          <w:p w14:paraId="5D306C61" w14:textId="4C1D08B2" w:rsidR="00D64E14" w:rsidRPr="00B408BA" w:rsidRDefault="00D64E14" w:rsidP="00D64E14">
            <w:pPr>
              <w:pStyle w:val="Subttulo"/>
              <w:numPr>
                <w:ilvl w:val="0"/>
                <w:numId w:val="6"/>
              </w:numPr>
              <w:spacing w:after="0"/>
              <w:rPr>
                <w:lang w:eastAsia="es-MX"/>
              </w:rPr>
            </w:pPr>
            <w:r w:rsidRPr="00B408BA">
              <w:rPr>
                <w:lang w:eastAsia="es-MX"/>
              </w:rPr>
              <w:t>Autorización e Historia.</w:t>
            </w:r>
          </w:p>
          <w:p w14:paraId="25BAA18D" w14:textId="77777777" w:rsidR="00D64E14" w:rsidRPr="00B408BA" w:rsidRDefault="00D64E14" w:rsidP="00D64E14">
            <w:pPr>
              <w:pStyle w:val="Prrafodelista"/>
              <w:numPr>
                <w:ilvl w:val="0"/>
                <w:numId w:val="4"/>
              </w:numPr>
              <w:spacing w:after="0"/>
              <w:jc w:val="both"/>
              <w:rPr>
                <w:rStyle w:val="nfasissutil"/>
              </w:rPr>
            </w:pPr>
            <w:r w:rsidRPr="00B408BA">
              <w:rPr>
                <w:rStyle w:val="nfasissutil"/>
              </w:rPr>
              <w:t>Fecha de creación del Ente:</w:t>
            </w:r>
          </w:p>
          <w:p w14:paraId="03D46FAC" w14:textId="77777777" w:rsidR="00D64E14" w:rsidRDefault="00D64E14" w:rsidP="00EF3CAC">
            <w:pPr>
              <w:spacing w:after="0" w:line="360" w:lineRule="auto"/>
              <w:jc w:val="both"/>
              <w:rPr>
                <w:lang w:eastAsia="es-MX"/>
              </w:rPr>
            </w:pPr>
            <w:r w:rsidRPr="00B408BA">
              <w:rPr>
                <w:lang w:eastAsia="es-MX"/>
              </w:rPr>
              <w:t>El 6 de abril de 1917 la Constitución Política del Estado de Jalisco reconoce a Zapopan como Municipio Libre, la categoría de cabecera municipal permaneció sin cambios hasta el 7 de diciembre de 1994 cuando mediante decreto 14358 el Congreso del Estado de Jalisco, cambia la categoría de Villa Zapopan que tenía desde principios del siglo XIX por la de Ciudad. Durante la sesión solemne realizada el 8 de diciembre de 1991, en la que se celebró el 450 aniversario de la fundación de la Villa Zapopan, concediéndose, con este motivo el título de ciudad.</w:t>
            </w:r>
          </w:p>
          <w:p w14:paraId="31BA345B" w14:textId="77777777" w:rsidR="00D57A8F" w:rsidRDefault="00D57A8F" w:rsidP="00EF3CAC">
            <w:pPr>
              <w:spacing w:after="0" w:line="360" w:lineRule="auto"/>
              <w:jc w:val="both"/>
              <w:rPr>
                <w:lang w:eastAsia="es-MX"/>
              </w:rPr>
            </w:pPr>
          </w:p>
          <w:p w14:paraId="30321BB9" w14:textId="77777777" w:rsidR="00D57A8F" w:rsidRDefault="00D57A8F" w:rsidP="00EF3CAC">
            <w:pPr>
              <w:spacing w:after="0" w:line="360" w:lineRule="auto"/>
              <w:jc w:val="both"/>
              <w:rPr>
                <w:lang w:eastAsia="es-MX"/>
              </w:rPr>
            </w:pPr>
          </w:p>
          <w:p w14:paraId="75270318" w14:textId="77777777" w:rsidR="00D57A8F" w:rsidRDefault="00D57A8F" w:rsidP="00EF3CAC">
            <w:pPr>
              <w:spacing w:after="0" w:line="360" w:lineRule="auto"/>
              <w:jc w:val="both"/>
              <w:rPr>
                <w:lang w:eastAsia="es-MX"/>
              </w:rPr>
            </w:pPr>
          </w:p>
          <w:p w14:paraId="6B3E3250" w14:textId="77777777" w:rsidR="00D57A8F" w:rsidRPr="00B408BA" w:rsidRDefault="00D57A8F" w:rsidP="00EF3CAC">
            <w:pPr>
              <w:spacing w:after="0" w:line="360" w:lineRule="auto"/>
              <w:jc w:val="both"/>
              <w:rPr>
                <w:lang w:eastAsia="es-MX"/>
              </w:rPr>
            </w:pPr>
          </w:p>
          <w:p w14:paraId="07CCDDF9" w14:textId="77777777" w:rsidR="00D64E14" w:rsidRPr="00B408BA" w:rsidRDefault="00D64E14" w:rsidP="00D64E14">
            <w:pPr>
              <w:pStyle w:val="Prrafodelista"/>
              <w:numPr>
                <w:ilvl w:val="0"/>
                <w:numId w:val="4"/>
              </w:numPr>
              <w:spacing w:after="0"/>
              <w:jc w:val="both"/>
              <w:rPr>
                <w:rStyle w:val="nfasissutil"/>
              </w:rPr>
            </w:pPr>
            <w:r w:rsidRPr="00B408BA">
              <w:rPr>
                <w:rStyle w:val="nfasissutil"/>
              </w:rPr>
              <w:t>Principales cambios en su estructura.</w:t>
            </w:r>
          </w:p>
          <w:p w14:paraId="596C4DAE" w14:textId="77777777" w:rsidR="00D64E14" w:rsidRPr="00B408BA" w:rsidRDefault="00D64E14" w:rsidP="00EF3CAC">
            <w:pPr>
              <w:spacing w:after="0" w:line="360" w:lineRule="auto"/>
              <w:jc w:val="both"/>
              <w:rPr>
                <w:lang w:eastAsia="es-MX"/>
              </w:rPr>
            </w:pPr>
            <w:r w:rsidRPr="00B408BA">
              <w:rPr>
                <w:lang w:eastAsia="es-MX"/>
              </w:rPr>
              <w:t>El Municipio de Zapopan, es una Entidad que elabora su información financiera observando las disposiciones de las siguientes Leyes del Estado de Jalisco:</w:t>
            </w:r>
          </w:p>
          <w:p w14:paraId="2AECFD34" w14:textId="77777777" w:rsidR="00D64E14" w:rsidRPr="00B408BA" w:rsidRDefault="00D64E14" w:rsidP="00EF3CAC">
            <w:pPr>
              <w:spacing w:after="0" w:line="360" w:lineRule="auto"/>
              <w:jc w:val="both"/>
              <w:rPr>
                <w:lang w:eastAsia="es-MX"/>
              </w:rPr>
            </w:pPr>
          </w:p>
          <w:p w14:paraId="60BA8A6E" w14:textId="77777777" w:rsidR="00D64E14" w:rsidRPr="00B408BA" w:rsidRDefault="00D64E14" w:rsidP="00D64E14">
            <w:pPr>
              <w:pStyle w:val="Prrafodelista"/>
              <w:numPr>
                <w:ilvl w:val="1"/>
                <w:numId w:val="4"/>
              </w:numPr>
              <w:spacing w:after="0"/>
              <w:jc w:val="both"/>
              <w:rPr>
                <w:lang w:eastAsia="es-MX"/>
              </w:rPr>
            </w:pPr>
            <w:r w:rsidRPr="00B408BA">
              <w:rPr>
                <w:lang w:eastAsia="es-MX"/>
              </w:rPr>
              <w:t>Del Gobierno y la Administración Pública Municipal del Estado de Jalisco.</w:t>
            </w:r>
          </w:p>
          <w:p w14:paraId="6F5D964B" w14:textId="77777777" w:rsidR="00D64E14" w:rsidRPr="00B408BA" w:rsidRDefault="00D64E14" w:rsidP="00D64E14">
            <w:pPr>
              <w:pStyle w:val="Prrafodelista"/>
              <w:numPr>
                <w:ilvl w:val="1"/>
                <w:numId w:val="4"/>
              </w:numPr>
              <w:spacing w:after="0"/>
              <w:jc w:val="both"/>
              <w:rPr>
                <w:lang w:eastAsia="es-MX"/>
              </w:rPr>
            </w:pPr>
            <w:r w:rsidRPr="00B408BA">
              <w:rPr>
                <w:lang w:eastAsia="es-MX"/>
              </w:rPr>
              <w:t>De Hacienda Municipal del Estado de Jalisco.</w:t>
            </w:r>
          </w:p>
          <w:p w14:paraId="745BB082" w14:textId="77777777" w:rsidR="00D64E14" w:rsidRPr="00B408BA" w:rsidRDefault="00D64E14" w:rsidP="00D64E14">
            <w:pPr>
              <w:pStyle w:val="Prrafodelista"/>
              <w:numPr>
                <w:ilvl w:val="1"/>
                <w:numId w:val="4"/>
              </w:numPr>
              <w:spacing w:after="0"/>
              <w:jc w:val="both"/>
              <w:rPr>
                <w:lang w:eastAsia="es-MX"/>
              </w:rPr>
            </w:pPr>
            <w:r w:rsidRPr="00B408BA">
              <w:rPr>
                <w:lang w:eastAsia="es-MX"/>
              </w:rPr>
              <w:t>Del Presupuesto, Contabilidad y Gasto Público del Estado de Jalisco.</w:t>
            </w:r>
          </w:p>
          <w:p w14:paraId="7C8F4F67" w14:textId="77777777" w:rsidR="00D64E14" w:rsidRPr="00B408BA" w:rsidRDefault="00D64E14" w:rsidP="00D64E14">
            <w:pPr>
              <w:pStyle w:val="Prrafodelista"/>
              <w:numPr>
                <w:ilvl w:val="1"/>
                <w:numId w:val="4"/>
              </w:numPr>
              <w:spacing w:after="0"/>
              <w:jc w:val="both"/>
              <w:rPr>
                <w:lang w:eastAsia="es-MX"/>
              </w:rPr>
            </w:pPr>
            <w:r w:rsidRPr="00B408BA">
              <w:rPr>
                <w:lang w:eastAsia="es-MX"/>
              </w:rPr>
              <w:t>De Ingresos del Municipio Zapopan, Jalisco.</w:t>
            </w:r>
          </w:p>
          <w:p w14:paraId="20E61D14" w14:textId="77777777" w:rsidR="00D64E14" w:rsidRPr="00B408BA" w:rsidRDefault="00D64E14" w:rsidP="00D64E14">
            <w:pPr>
              <w:pStyle w:val="Prrafodelista"/>
              <w:numPr>
                <w:ilvl w:val="1"/>
                <w:numId w:val="4"/>
              </w:numPr>
              <w:spacing w:after="0"/>
              <w:jc w:val="both"/>
              <w:rPr>
                <w:lang w:eastAsia="es-MX"/>
              </w:rPr>
            </w:pPr>
            <w:r w:rsidRPr="00B408BA">
              <w:rPr>
                <w:lang w:eastAsia="es-MX"/>
              </w:rPr>
              <w:t>De Fiscalización Superior y Auditoría Pública del Estado de Jalisco y sus Municipios.</w:t>
            </w:r>
          </w:p>
          <w:p w14:paraId="36F64914" w14:textId="77777777" w:rsidR="00D64E14" w:rsidRPr="00B408BA" w:rsidRDefault="00D64E14" w:rsidP="00EF3CAC">
            <w:pPr>
              <w:spacing w:after="0" w:line="360" w:lineRule="auto"/>
              <w:jc w:val="both"/>
              <w:rPr>
                <w:lang w:eastAsia="es-MX"/>
              </w:rPr>
            </w:pPr>
          </w:p>
          <w:p w14:paraId="215E62AD" w14:textId="77777777" w:rsidR="00D64E14" w:rsidRPr="00B408BA" w:rsidRDefault="00D64E14" w:rsidP="00EF3CAC">
            <w:pPr>
              <w:spacing w:after="0" w:line="360" w:lineRule="auto"/>
              <w:jc w:val="both"/>
              <w:rPr>
                <w:lang w:eastAsia="es-MX"/>
              </w:rPr>
            </w:pPr>
            <w:r w:rsidRPr="00B408BA">
              <w:rPr>
                <w:lang w:eastAsia="es-MX"/>
              </w:rPr>
              <w:t xml:space="preserve">Para dar cumplimiento con las anteriores disposiciones, el buen funcionamiento y operatividad del municipio, cuenta con un Reglamento para la Administración Pública Municipal de Zapopan, Jalisco, al cual se le hicieron algunas adecuaciones en su estructura básica para atender las necesidades básicas que le competen al mismo. Dicho reglamento se encuentra disponible en la siguiente dirección electrónica: </w:t>
            </w:r>
            <w:hyperlink r:id="rId5" w:history="1">
              <w:r w:rsidRPr="00B408BA">
                <w:rPr>
                  <w:rStyle w:val="CitaCar"/>
                </w:rPr>
                <w:t>https://servicios.zapopan.gob.mx:8000/wwwportal/publicfiles/descargasEnlaces/11-2022/Reglamento%20de%20la%20Administraci%C3%B3n%20P%C3%BAblica%20Municipal%20de%20Zapopan%2C%20Jalisco.pdf</w:t>
              </w:r>
            </w:hyperlink>
            <w:r w:rsidRPr="00B408BA">
              <w:rPr>
                <w:rStyle w:val="CitaCar"/>
              </w:rPr>
              <w:t xml:space="preserve"> </w:t>
            </w:r>
          </w:p>
          <w:p w14:paraId="3CFC5B98" w14:textId="77777777" w:rsidR="00D64E14" w:rsidRPr="00B408BA" w:rsidRDefault="00D64E14" w:rsidP="00EF3CAC">
            <w:pPr>
              <w:spacing w:after="0"/>
              <w:jc w:val="both"/>
              <w:rPr>
                <w:lang w:eastAsia="es-MX"/>
              </w:rPr>
            </w:pPr>
          </w:p>
          <w:p w14:paraId="53DB2818" w14:textId="77777777" w:rsidR="00D64E14" w:rsidRPr="00B408BA" w:rsidRDefault="00D64E14" w:rsidP="00D77A76">
            <w:pPr>
              <w:pStyle w:val="Subttulo"/>
              <w:numPr>
                <w:ilvl w:val="0"/>
                <w:numId w:val="6"/>
              </w:numPr>
              <w:spacing w:after="0"/>
              <w:jc w:val="both"/>
              <w:rPr>
                <w:lang w:eastAsia="es-MX"/>
              </w:rPr>
            </w:pPr>
            <w:r w:rsidRPr="00B408BA">
              <w:rPr>
                <w:lang w:eastAsia="es-MX"/>
              </w:rPr>
              <w:t>Panorama Económico y Financiero.</w:t>
            </w:r>
          </w:p>
          <w:p w14:paraId="199E10D0" w14:textId="77777777" w:rsidR="00D64E14" w:rsidRPr="00B408BA" w:rsidRDefault="00D64E14" w:rsidP="00D77A76">
            <w:pPr>
              <w:pStyle w:val="Prrafodelista"/>
              <w:numPr>
                <w:ilvl w:val="0"/>
                <w:numId w:val="1"/>
              </w:numPr>
              <w:spacing w:after="0"/>
              <w:jc w:val="both"/>
              <w:rPr>
                <w:rStyle w:val="nfasissutil"/>
              </w:rPr>
            </w:pPr>
            <w:r w:rsidRPr="00B408BA">
              <w:rPr>
                <w:rStyle w:val="nfasissutil"/>
              </w:rPr>
              <w:t xml:space="preserve">Actividad Económica </w:t>
            </w:r>
          </w:p>
          <w:p w14:paraId="015AE1DC" w14:textId="77777777" w:rsidR="00D77A76" w:rsidRDefault="00D4604F" w:rsidP="00D77A76">
            <w:pPr>
              <w:spacing w:after="0" w:line="360" w:lineRule="auto"/>
              <w:jc w:val="both"/>
            </w:pPr>
            <w:r>
              <w:t>En el tercer trimestre de 2025, la actividad económica global se habría expandido a un ritmo menor al del trimestre anterior, lo que habría reflejado una moderación tanto del grupo de economías emergentes como del de avanzadas (Gráfica 1). En este entorno, se espera que la actividad económica en Estados Unidos continúe expandiéndose. Los índices de gerentes de compras de octubre sugieren que en el nivel global el sector manufacturero continuaría mostrando atonía y qu</w:t>
            </w:r>
            <w:r w:rsidR="00D77A76">
              <w:t xml:space="preserve">e </w:t>
            </w:r>
            <w:r>
              <w:t>el sector servicios seguiría en expansión (Gráfica 2).</w:t>
            </w:r>
          </w:p>
          <w:p w14:paraId="473CBD5E" w14:textId="77777777" w:rsidR="00D77A76" w:rsidRDefault="00D77A76" w:rsidP="00D77A76">
            <w:pPr>
              <w:spacing w:after="0" w:line="360" w:lineRule="auto"/>
              <w:jc w:val="both"/>
            </w:pPr>
          </w:p>
          <w:p w14:paraId="403BB3AE" w14:textId="2A1082A7" w:rsidR="00D64E14" w:rsidRPr="00B408BA" w:rsidRDefault="00D64E14" w:rsidP="00D77A76">
            <w:pPr>
              <w:spacing w:after="0" w:line="360" w:lineRule="auto"/>
              <w:jc w:val="center"/>
            </w:pPr>
            <w:r w:rsidRPr="00B408BA">
              <w:rPr>
                <w:noProof/>
                <w:lang w:eastAsia="es-MX"/>
              </w:rPr>
              <w:lastRenderedPageBreak/>
              <mc:AlternateContent>
                <mc:Choice Requires="wps">
                  <w:drawing>
                    <wp:inline distT="0" distB="0" distL="0" distR="0" wp14:anchorId="27375F90" wp14:editId="2B782130">
                      <wp:extent cx="304800" cy="304800"/>
                      <wp:effectExtent l="0" t="0" r="0" b="0"/>
                      <wp:docPr id="4" name="Rectángulo 4" descr="https://www.banxico.org.mx/multimedia/RVITenemar2024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CF14AD" id="Rectángulo 4" o:spid="_x0000_s1026" alt="https://www.banxico.org.mx/multimedia/RVITenemar2024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NRebfEeAgAACAQAAA4AAAAAAAAAAAAAAAAALgIAAGRycy9lMm9Eb2MueG1sUEsBAi0AFAAG&#10;AAgAAAAhAEyg6SzYAAAAAwEAAA8AAAAAAAAAAAAAAAAAeAQAAGRycy9kb3ducmV2LnhtbFBLBQYA&#10;AAAABAAEAPMAAAB9BQAAAAA=&#10;" filled="f" stroked="f">
                      <o:lock v:ext="edit" aspectratio="t"/>
                      <w10:anchorlock/>
                    </v:rect>
                  </w:pict>
                </mc:Fallback>
              </mc:AlternateContent>
            </w:r>
            <w:r w:rsidR="00D77A76">
              <w:rPr>
                <w:noProof/>
              </w:rPr>
              <w:t xml:space="preserve"> </w:t>
            </w:r>
            <w:r w:rsidR="00D77A76" w:rsidRPr="00D77A76">
              <w:rPr>
                <w:noProof/>
              </w:rPr>
              <w:drawing>
                <wp:inline distT="0" distB="0" distL="0" distR="0" wp14:anchorId="7D05F462" wp14:editId="687D4D6F">
                  <wp:extent cx="3067478" cy="37533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67478" cy="3753374"/>
                          </a:xfrm>
                          <a:prstGeom prst="rect">
                            <a:avLst/>
                          </a:prstGeom>
                        </pic:spPr>
                      </pic:pic>
                    </a:graphicData>
                  </a:graphic>
                </wp:inline>
              </w:drawing>
            </w:r>
          </w:p>
          <w:p w14:paraId="4D68E49D" w14:textId="606B3B0C" w:rsidR="00D64E14" w:rsidRPr="00B408BA" w:rsidRDefault="00D77A76" w:rsidP="00D64E14">
            <w:pPr>
              <w:spacing w:after="0" w:line="360" w:lineRule="auto"/>
              <w:jc w:val="center"/>
            </w:pPr>
            <w:r w:rsidRPr="00D77A76">
              <w:rPr>
                <w:noProof/>
              </w:rPr>
              <w:drawing>
                <wp:inline distT="0" distB="0" distL="0" distR="0" wp14:anchorId="0CC52F34" wp14:editId="03B08A54">
                  <wp:extent cx="2981741" cy="3934374"/>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81741" cy="3934374"/>
                          </a:xfrm>
                          <a:prstGeom prst="rect">
                            <a:avLst/>
                          </a:prstGeom>
                        </pic:spPr>
                      </pic:pic>
                    </a:graphicData>
                  </a:graphic>
                </wp:inline>
              </w:drawing>
            </w:r>
          </w:p>
          <w:p w14:paraId="4C174309" w14:textId="77777777" w:rsidR="00D64E14" w:rsidRPr="00B408BA" w:rsidRDefault="00D64E14" w:rsidP="00D64E14">
            <w:pPr>
              <w:spacing w:after="0" w:line="360" w:lineRule="auto"/>
            </w:pPr>
          </w:p>
          <w:p w14:paraId="63A7AC0A" w14:textId="383846B9" w:rsidR="00D77A76" w:rsidRPr="00B408BA" w:rsidRDefault="00D77A76" w:rsidP="00D77A76">
            <w:pPr>
              <w:spacing w:line="360" w:lineRule="auto"/>
              <w:jc w:val="both"/>
            </w:pPr>
            <w:r>
              <w:lastRenderedPageBreak/>
              <w:t>Las perspectivas de crecimiento global para 2025 y 2026, elaboradas por organismos internacionales, se revisaron al alza de forma generalizada respecto de las que se tenían en abril (Cuadro 1). Aunque todavía se anticipa una desaceleración de la economía mundial en este año y el próximo respecto de 2024, ahora se espera que sea más moderada a lo anticipado en meses previos. Ello, ante la evolución de las negociaciones comerciales y tasas arancelarias más bajas que las anunciadas a principios del segundo trimestre. En el caso de Estados Unidos, los pronósticos para 2025 y 2026 aún anticipan una desaceleración respecto del crecimiento observado el año pasado. Pese a lo anterior, se prevé que la economía estadounidense mantenga un ritmo de expansión mayoría de las principales economías avanzadas. En cuanto a la zona del euro, sus previsiones más recientes anticipan un crecimiento mayor para 2025 y 2026 respecto del registrado en 2024. Por su parte, los pronósticos para China continúan previendo una desaceleración en este año y el siguiente.</w:t>
            </w:r>
          </w:p>
          <w:p w14:paraId="77E77A4B" w14:textId="77777777" w:rsidR="00D64E14" w:rsidRPr="00B408BA" w:rsidRDefault="00D64E14" w:rsidP="00D64E14">
            <w:pPr>
              <w:spacing w:line="360" w:lineRule="auto"/>
              <w:jc w:val="both"/>
            </w:pPr>
          </w:p>
          <w:p w14:paraId="064B9A64" w14:textId="2EFB2D16" w:rsidR="00D64E14" w:rsidRDefault="00D77A76" w:rsidP="00D64E14">
            <w:pPr>
              <w:spacing w:line="360" w:lineRule="auto"/>
              <w:jc w:val="center"/>
            </w:pPr>
            <w:r w:rsidRPr="00D77A76">
              <w:rPr>
                <w:noProof/>
              </w:rPr>
              <w:drawing>
                <wp:inline distT="0" distB="0" distL="0" distR="0" wp14:anchorId="654DFF1A" wp14:editId="7C406DF8">
                  <wp:extent cx="3057952" cy="2810267"/>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57952" cy="2810267"/>
                          </a:xfrm>
                          <a:prstGeom prst="rect">
                            <a:avLst/>
                          </a:prstGeom>
                        </pic:spPr>
                      </pic:pic>
                    </a:graphicData>
                  </a:graphic>
                </wp:inline>
              </w:drawing>
            </w:r>
          </w:p>
          <w:p w14:paraId="74FD74A3" w14:textId="22CADBEE" w:rsidR="000E015F" w:rsidRDefault="000E015F" w:rsidP="00D64E14">
            <w:pPr>
              <w:spacing w:line="360" w:lineRule="auto"/>
              <w:jc w:val="center"/>
            </w:pPr>
            <w:r w:rsidRPr="00C45374">
              <w:rPr>
                <w:noProof/>
              </w:rPr>
              <w:lastRenderedPageBreak/>
              <w:drawing>
                <wp:inline distT="0" distB="0" distL="0" distR="0" wp14:anchorId="5A88F4A6" wp14:editId="531E620A">
                  <wp:extent cx="3177979" cy="37338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1003" cy="3749102"/>
                          </a:xfrm>
                          <a:prstGeom prst="rect">
                            <a:avLst/>
                          </a:prstGeom>
                        </pic:spPr>
                      </pic:pic>
                    </a:graphicData>
                  </a:graphic>
                </wp:inline>
              </w:drawing>
            </w:r>
          </w:p>
          <w:p w14:paraId="5B63FD6B" w14:textId="77777777" w:rsidR="000E015F" w:rsidRDefault="000E015F" w:rsidP="00D64E14">
            <w:pPr>
              <w:spacing w:line="360" w:lineRule="auto"/>
              <w:jc w:val="center"/>
            </w:pPr>
          </w:p>
          <w:p w14:paraId="5BB851E4" w14:textId="1712C2E3" w:rsidR="000E015F" w:rsidRDefault="000E015F" w:rsidP="00D64E14">
            <w:pPr>
              <w:spacing w:line="360" w:lineRule="auto"/>
              <w:jc w:val="center"/>
            </w:pPr>
            <w:r w:rsidRPr="00C45374">
              <w:rPr>
                <w:noProof/>
              </w:rPr>
              <w:drawing>
                <wp:inline distT="0" distB="0" distL="0" distR="0" wp14:anchorId="6EBA2203" wp14:editId="75B7AF3E">
                  <wp:extent cx="2971800" cy="3446087"/>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80586" cy="3456275"/>
                          </a:xfrm>
                          <a:prstGeom prst="rect">
                            <a:avLst/>
                          </a:prstGeom>
                        </pic:spPr>
                      </pic:pic>
                    </a:graphicData>
                  </a:graphic>
                </wp:inline>
              </w:drawing>
            </w:r>
          </w:p>
          <w:p w14:paraId="45CB3E74" w14:textId="7DDC8A12" w:rsidR="000E015F" w:rsidRPr="00B408BA" w:rsidRDefault="000E015F" w:rsidP="00D64E14">
            <w:pPr>
              <w:spacing w:line="360" w:lineRule="auto"/>
              <w:jc w:val="center"/>
            </w:pPr>
            <w:r w:rsidRPr="00C45374">
              <w:rPr>
                <w:noProof/>
              </w:rPr>
              <w:lastRenderedPageBreak/>
              <w:drawing>
                <wp:inline distT="0" distB="0" distL="0" distR="0" wp14:anchorId="10A9D27F" wp14:editId="5DFD12A6">
                  <wp:extent cx="3012663" cy="34766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22113" cy="3487530"/>
                          </a:xfrm>
                          <a:prstGeom prst="rect">
                            <a:avLst/>
                          </a:prstGeom>
                        </pic:spPr>
                      </pic:pic>
                    </a:graphicData>
                  </a:graphic>
                </wp:inline>
              </w:drawing>
            </w:r>
          </w:p>
          <w:p w14:paraId="2CFBC05D" w14:textId="38F00562" w:rsidR="00D64E14" w:rsidRPr="00B408BA" w:rsidRDefault="00E9249F" w:rsidP="000E015F">
            <w:pPr>
              <w:spacing w:line="360" w:lineRule="auto"/>
              <w:jc w:val="both"/>
            </w:pPr>
            <w:r>
              <w:t xml:space="preserve">En Estados Unidos, el Gobierno Federal cerró sus operaciones el 1 de octubre por 43 días, excepto por funciones esenciales, ante la falta de un acuerdo en el Congreso en torno a la asignación del gasto. Derivado de lo anterior, se han generado retrasos en la publicación de datos económicos que han complicado la lectura de dicha economía en el tercer trimestre. 1 </w:t>
            </w:r>
            <w:r w:rsidR="0027779E">
              <w:t>asimismo</w:t>
            </w:r>
            <w:r>
              <w:t>, se anticipan efectos negativos transitorios sobre la actividad económica estadounidense en el cuarto trimestre de 2025. No obstante, se espera que la actividad económica estadounidense haya continuado expandiéndose.</w:t>
            </w:r>
          </w:p>
          <w:p w14:paraId="510F8C79" w14:textId="29C53ED3" w:rsidR="00D64E14" w:rsidRPr="00B408BA" w:rsidRDefault="00D64E14" w:rsidP="00EF3CAC">
            <w:pPr>
              <w:spacing w:after="0" w:line="360" w:lineRule="auto"/>
              <w:jc w:val="both"/>
            </w:pPr>
            <w:r w:rsidRPr="00B408BA">
              <w:t>En relación con los Pre-Criterios 202</w:t>
            </w:r>
            <w:r w:rsidR="00F01CC3">
              <w:t>6</w:t>
            </w:r>
            <w:r w:rsidRPr="00B408BA">
              <w:t>, aprobado por la Secretar</w:t>
            </w:r>
            <w:r w:rsidR="0027779E">
              <w:t>í</w:t>
            </w:r>
            <w:r w:rsidRPr="00B408BA">
              <w:t>a de Hacienda y Crédito Público (SHCP), se mencionan algunas consideraciones relevantes.</w:t>
            </w:r>
          </w:p>
          <w:p w14:paraId="5C8CCBE2" w14:textId="77777777" w:rsidR="00D64E14" w:rsidRPr="00B408BA" w:rsidRDefault="00D64E14" w:rsidP="00EF3CAC">
            <w:pPr>
              <w:spacing w:after="0"/>
              <w:jc w:val="both"/>
            </w:pPr>
          </w:p>
          <w:p w14:paraId="12C2467F" w14:textId="116ECD2D" w:rsidR="00F01CC3" w:rsidRDefault="005F5715" w:rsidP="00EF3CAC">
            <w:pPr>
              <w:spacing w:after="0" w:line="360" w:lineRule="auto"/>
              <w:jc w:val="both"/>
            </w:pPr>
            <w:r>
              <w:t xml:space="preserve">Se prevé que en 2025 la economía mexicana registre un crecimiento en un rango de 1.5 a 2.3% real anual, mientras que para 2026 el crecimiento esperado se ubica entre 1.5 y 2.5% anual. La revisión a la baja respecto a las estimaciones del Paquete Económico 2025 responde a una desaceleración en la inversión residencial, una menor expansión en la minería petrolera y efectos persistentes de choques de oferta provenientes del año anterior. Adicionalmente, la incertidumbre en torno a la dirección de la política comercial bilateral de EE.UU. y los ajustes en su relación con otros socios </w:t>
            </w:r>
            <w:r>
              <w:lastRenderedPageBreak/>
              <w:t>comerciales han generado un incremento sensible en la cautela en la inversión y el consumo privados, afectando su dinamismo en el corto plazo.</w:t>
            </w:r>
          </w:p>
          <w:p w14:paraId="0F5AEE00" w14:textId="61D00CDF" w:rsidR="00F01CC3" w:rsidRDefault="00F01CC3" w:rsidP="00EF3CAC">
            <w:pPr>
              <w:spacing w:after="0" w:line="360" w:lineRule="auto"/>
              <w:jc w:val="both"/>
            </w:pPr>
            <w:r>
              <w:t>En este contexto, se anticipa que el Banco de México continúe con el proceso de relajación de su postura monetaria, ubicando la tasa de referencia en 8.0% al cierre de 2025 y en 7.0% en 2026. Esta trayectoria responde a la convergencia gradual de la inflación dentro del intervalo de variabilidad del banco central, así como a la prevalencia de condiciones de holgura en la economía y un crecimiento moderado, factores que permitirán una normalización de la tasa de interés de referencia. Adicionalmente, las expectativas de inflación a corto y largo plazo permanecen ancladas, reflejando una menor presión sobre los precios y reforzando el margen de acción para una postura monetaria menos restrictiva.</w:t>
            </w:r>
          </w:p>
          <w:p w14:paraId="54158704" w14:textId="0F49BC95" w:rsidR="005F5715" w:rsidRDefault="005F5715" w:rsidP="00EF3CAC">
            <w:pPr>
              <w:spacing w:after="0" w:line="360" w:lineRule="auto"/>
              <w:jc w:val="both"/>
            </w:pPr>
            <w:r>
              <w:t>Se estima que el tipo de cambio se ubicará en 20.0 pesos por dólar al cierre de 2025, lo que implicaría un escenario más depreciado en 1.5 pesos u 8.0% de variación cambiaria respecto a la estimación del Paquete Económico 2025. Este ajuste reflejaría la incertidumbre asociada con las revisiones en las políticas comerciales y fiscales de EE.UU., así como a las condiciones financieras globales. Sin embargo, para 2026 se prevé un ajuste a la baja en la volatilidad cambiaria, favoreciendo una apreciación gradual del peso, en línea con episodios previos de normalización tras periodos de incertidumbre en la relación comercial con EE.UU.</w:t>
            </w:r>
          </w:p>
          <w:p w14:paraId="6B52B483" w14:textId="77777777" w:rsidR="005F5715" w:rsidRDefault="005F5715" w:rsidP="00EF3CAC">
            <w:pPr>
              <w:spacing w:after="0" w:line="360" w:lineRule="auto"/>
              <w:jc w:val="both"/>
            </w:pPr>
            <w:r>
              <w:t>En cuanto a las cuentas externas, se prevé que la balanza en cuenta corriente registre un déficit de 0.1% del PIB en 2025, consistente con un menor dinamismo del crecimiento económico y un tipo de cambio más competitivo, factores que contribuirán a una reducción del déficit en la balanza comercial. Asimismo, se espera que la balanza de ingreso secundario mantenga un superávit derivado del flujo creciente de remesas, impulsado por la solidez del mercado laboral en EE.UU. y el aumento en la masa salarial de los trabajadores mexicanos en ese país. Para 2026, se anticipa un déficit de 0.4% del PIB, asociado a una mayor expansión del consumo y la inversión, lo que elevaría las importaciones de bienes intermedios y de capital.</w:t>
            </w:r>
          </w:p>
          <w:p w14:paraId="7B60DE9B" w14:textId="77777777" w:rsidR="00D64E14" w:rsidRPr="00B408BA" w:rsidRDefault="00D64E14" w:rsidP="00EF3CAC">
            <w:pPr>
              <w:spacing w:after="0" w:line="360" w:lineRule="auto"/>
              <w:jc w:val="both"/>
            </w:pPr>
            <w:r w:rsidRPr="00B408BA">
              <w:t>Por otra parte, se espera una menor demanda de crudo ante una posible desaceleración de la demanda a nivel global, especialmente por China. Por ello, se prevé que en promedio la cotización de la MME se ubique en 71.3 dpb en 2024. Para 2025, se estima una cotización de 58.4 dpb, la cual se encuentra sustentada con la metodología establecida por Ley en el artículo 31 de la LFPRH y el 15 de su Reglamento</w:t>
            </w:r>
          </w:p>
          <w:p w14:paraId="4E48EC80" w14:textId="5D538E8E" w:rsidR="00D64E14" w:rsidRPr="00B408BA" w:rsidRDefault="005F5715" w:rsidP="00EF3CAC">
            <w:pPr>
              <w:spacing w:after="0"/>
              <w:jc w:val="center"/>
            </w:pPr>
            <w:r w:rsidRPr="005F5715">
              <w:rPr>
                <w:noProof/>
              </w:rPr>
              <w:lastRenderedPageBreak/>
              <w:drawing>
                <wp:inline distT="0" distB="0" distL="0" distR="0" wp14:anchorId="6990C848" wp14:editId="7260652B">
                  <wp:extent cx="5620385" cy="5274945"/>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20385" cy="5274945"/>
                          </a:xfrm>
                          <a:prstGeom prst="rect">
                            <a:avLst/>
                          </a:prstGeom>
                        </pic:spPr>
                      </pic:pic>
                    </a:graphicData>
                  </a:graphic>
                </wp:inline>
              </w:drawing>
            </w:r>
          </w:p>
          <w:p w14:paraId="5EA5BEA5" w14:textId="77777777" w:rsidR="00D64E14" w:rsidRPr="00B408BA" w:rsidRDefault="00D64E14" w:rsidP="00EF3CAC">
            <w:pPr>
              <w:spacing w:after="0"/>
              <w:jc w:val="center"/>
            </w:pPr>
          </w:p>
          <w:p w14:paraId="57FECC59" w14:textId="77777777" w:rsidR="00B9603E" w:rsidRDefault="00B9603E" w:rsidP="00EF3CAC">
            <w:pPr>
              <w:spacing w:after="0"/>
              <w:jc w:val="both"/>
            </w:pPr>
            <w:r>
              <w:t xml:space="preserve">Se estima que los ingresos presupuestarios en 2026 serán inferiores en 64.4 mil millones de pesos de 2026 respecto al monto aprobado en la LIF 2025. Este ajuste se explica por las siguientes variaciones en sus principales componentes: </w:t>
            </w:r>
          </w:p>
          <w:p w14:paraId="08E6184D" w14:textId="0C10F8CE" w:rsidR="00B9603E" w:rsidRDefault="00B9603E" w:rsidP="00C73C3E">
            <w:pPr>
              <w:pStyle w:val="Prrafodelista"/>
              <w:numPr>
                <w:ilvl w:val="0"/>
                <w:numId w:val="1"/>
              </w:numPr>
              <w:spacing w:after="0"/>
              <w:jc w:val="both"/>
            </w:pPr>
            <w:r>
              <w:t>Se prevé un aumento de 92.6 mil millones de pesos en los ingresos tributarios, impulsado por el</w:t>
            </w:r>
            <w:r w:rsidR="00C73C3E">
              <w:t xml:space="preserve"> </w:t>
            </w:r>
            <w:r>
              <w:t>crecimiento tendencial de la actividad económica, los efectos permanentes derivados de las mejoras en la eficiencia recaudatoria y una mayor base de comparación a partir del desempeño observado en 2024.</w:t>
            </w:r>
          </w:p>
          <w:p w14:paraId="1D706FC9" w14:textId="0225A79E" w:rsidR="00C73C3E" w:rsidRDefault="00B9603E" w:rsidP="00C73C3E">
            <w:pPr>
              <w:pStyle w:val="Prrafodelista"/>
              <w:numPr>
                <w:ilvl w:val="0"/>
                <w:numId w:val="1"/>
              </w:numPr>
              <w:spacing w:after="0"/>
              <w:jc w:val="both"/>
            </w:pPr>
            <w:r>
              <w:t>En contraste, se anticipa una reducción de 131.3 mil millones de pesos en los ingresos petroleros respecto a lo programado para 2025. Esta disminución obedece a un menor precio promedio del crudo, calculado conforme a la fórmula establecida en el artículo 31 de la LFPRH, el cual no se compensa por completo con el incremento previsto en la plataforma de producción. Cabe destacar que ésta última incluye la extracción de Pemex, sus socios, los condensados y los contratos de participación con empresas privadas.</w:t>
            </w:r>
          </w:p>
          <w:p w14:paraId="27AD21AA" w14:textId="3E2307E7" w:rsidR="00C73C3E" w:rsidRDefault="00B9603E" w:rsidP="00C73C3E">
            <w:pPr>
              <w:pStyle w:val="Prrafodelista"/>
              <w:numPr>
                <w:ilvl w:val="0"/>
                <w:numId w:val="1"/>
              </w:numPr>
              <w:spacing w:after="0"/>
              <w:jc w:val="both"/>
            </w:pPr>
            <w:r>
              <w:lastRenderedPageBreak/>
              <w:t xml:space="preserve">Asimismo, se estiman menores ingresos no tributarios de 18.4 mil millones de pesos, excluyendo posibles ingresos extraordinarios no previstos en la legislación vigente, cuya materialización está sujeta a factores no recurrentes. A su vez, se proyecta una disminución de 7.2 mil millones de pesos en los ingresos propios de las entidades distintas de Pemex, derivada de los supuestos macroeconómicos que afectan sus resultados. </w:t>
            </w:r>
          </w:p>
          <w:p w14:paraId="5B567F9D" w14:textId="05BA3BA7" w:rsidR="00C73C3E" w:rsidRDefault="00B9603E" w:rsidP="00C73C3E">
            <w:pPr>
              <w:pStyle w:val="Prrafodelista"/>
              <w:numPr>
                <w:ilvl w:val="0"/>
                <w:numId w:val="1"/>
              </w:numPr>
              <w:spacing w:after="0"/>
              <w:jc w:val="both"/>
            </w:pPr>
            <w:r>
              <w:t xml:space="preserve">Con base en la meta de déficit presupuestario de 2.7% del PIB y los ingresos estimados, el gasto neto total deberá ajustarse a la baja en 245.9 mil millones de pesos de 2026 en comparación con el monto aprobado en el Presupuesto de Egresos de la Federación (PEF) 2025, lo que representa una disminución real de 2.6%. </w:t>
            </w:r>
          </w:p>
          <w:p w14:paraId="2A62AC3B" w14:textId="5FE4EBE4" w:rsidR="00B9603E" w:rsidRDefault="00B9603E" w:rsidP="00C73C3E">
            <w:pPr>
              <w:pStyle w:val="Prrafodelista"/>
              <w:numPr>
                <w:ilvl w:val="0"/>
                <w:numId w:val="1"/>
              </w:numPr>
              <w:spacing w:after="0"/>
              <w:jc w:val="both"/>
            </w:pPr>
            <w:r>
              <w:t xml:space="preserve">Este ajuste se concentrará principalmente en tres componentes: el costo financiero de la deuda, las participaciones a entidades federativas y municipios y </w:t>
            </w:r>
            <w:proofErr w:type="spellStart"/>
            <w:r>
              <w:t>Adefas</w:t>
            </w:r>
            <w:proofErr w:type="spellEnd"/>
            <w:r>
              <w:t>, los cuales en conjunto disminuirán en 179.5 mil millones de pesos. Estas reducciones representan el 73.0% del ajuste total al gasto neto total.</w:t>
            </w:r>
          </w:p>
          <w:p w14:paraId="368806D6" w14:textId="7CF087DE" w:rsidR="00C73C3E" w:rsidRDefault="00C73C3E" w:rsidP="00C73C3E">
            <w:pPr>
              <w:pStyle w:val="Prrafodelista"/>
              <w:numPr>
                <w:ilvl w:val="0"/>
                <w:numId w:val="1"/>
              </w:numPr>
              <w:spacing w:after="0"/>
              <w:jc w:val="both"/>
            </w:pPr>
            <w:r>
              <w:t>Como resultado, el gasto programable pagado disminuirá en 66.4 mil millones de pesos respecto al nivel aprobado para 2025, lo que equivale a una reducción de 1.0% en términos reales. Es importante destacar que esta disminución no comprometerá las prioridades del gasto social, ni afectará la provisión de servicios públicos, el cumplimiento de obligaciones legales o contractuales, ni los proyectos estratégicos que contribuyen al bienestar de la población y al desarrollo económico del país.</w:t>
            </w:r>
          </w:p>
          <w:p w14:paraId="6493D927" w14:textId="77777777" w:rsidR="00D64E14" w:rsidRPr="00B408BA" w:rsidRDefault="00D64E14" w:rsidP="00EF3CAC">
            <w:pPr>
              <w:spacing w:after="0"/>
              <w:jc w:val="both"/>
            </w:pPr>
          </w:p>
          <w:p w14:paraId="36AAA9CB" w14:textId="68C0C891" w:rsidR="00D64E14" w:rsidRPr="00B408BA" w:rsidRDefault="00C73C3E" w:rsidP="00EF3CAC">
            <w:pPr>
              <w:spacing w:after="0"/>
              <w:jc w:val="center"/>
            </w:pPr>
            <w:r w:rsidRPr="00C73C3E">
              <w:rPr>
                <w:noProof/>
              </w:rPr>
              <w:drawing>
                <wp:inline distT="0" distB="0" distL="0" distR="0" wp14:anchorId="46DB62BA" wp14:editId="696763AB">
                  <wp:extent cx="5620385" cy="379920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20385" cy="3799205"/>
                          </a:xfrm>
                          <a:prstGeom prst="rect">
                            <a:avLst/>
                          </a:prstGeom>
                        </pic:spPr>
                      </pic:pic>
                    </a:graphicData>
                  </a:graphic>
                </wp:inline>
              </w:drawing>
            </w:r>
          </w:p>
          <w:p w14:paraId="4C409AA0" w14:textId="77777777" w:rsidR="00D64E14" w:rsidRPr="00B408BA" w:rsidRDefault="00D64E14" w:rsidP="00EF3CAC">
            <w:pPr>
              <w:spacing w:after="0"/>
              <w:jc w:val="both"/>
            </w:pPr>
          </w:p>
          <w:p w14:paraId="6578C9B5" w14:textId="6A8BEAAA" w:rsidR="00D64E14" w:rsidRPr="00B408BA" w:rsidRDefault="00D64E14" w:rsidP="00EF3CAC">
            <w:pPr>
              <w:spacing w:after="0" w:line="360" w:lineRule="auto"/>
              <w:jc w:val="both"/>
            </w:pPr>
            <w:r w:rsidRPr="00B408BA">
              <w:lastRenderedPageBreak/>
              <w:t>La Ley de Ingresos de la Federación para el ejercicio fiscal 202</w:t>
            </w:r>
            <w:r w:rsidR="008C4A55">
              <w:t>6</w:t>
            </w:r>
            <w:r w:rsidRPr="00B408BA">
              <w:t xml:space="preserve"> estima obtener ingresos por: $</w:t>
            </w:r>
            <w:r w:rsidR="00BA0DED">
              <w:t>10,193,683.7</w:t>
            </w:r>
            <w:r w:rsidRPr="00B408BA">
              <w:t xml:space="preserve"> millones de pesos, distribuyéndose de acuerdo con lo siguiente:</w:t>
            </w:r>
          </w:p>
          <w:p w14:paraId="65DF1FEF" w14:textId="4112272F" w:rsidR="00D64E14" w:rsidRPr="00B408BA" w:rsidRDefault="00D64E14" w:rsidP="00BA0DED">
            <w:pPr>
              <w:pStyle w:val="Prrafodelista"/>
              <w:numPr>
                <w:ilvl w:val="0"/>
                <w:numId w:val="2"/>
              </w:numPr>
              <w:spacing w:after="0"/>
              <w:jc w:val="both"/>
            </w:pPr>
            <w:r w:rsidRPr="00B408BA">
              <w:t>Impuestos $</w:t>
            </w:r>
            <w:r w:rsidR="00BA0DED">
              <w:t>5,838,541.1</w:t>
            </w:r>
            <w:r w:rsidRPr="00B408BA">
              <w:t xml:space="preserve"> </w:t>
            </w:r>
            <w:proofErr w:type="spellStart"/>
            <w:r w:rsidRPr="00B408BA">
              <w:t>mdp</w:t>
            </w:r>
            <w:proofErr w:type="spellEnd"/>
          </w:p>
          <w:p w14:paraId="3BD90557" w14:textId="4A054763" w:rsidR="00D64E14" w:rsidRPr="00B408BA" w:rsidRDefault="00D64E14" w:rsidP="00D64E14">
            <w:pPr>
              <w:pStyle w:val="Prrafodelista"/>
              <w:numPr>
                <w:ilvl w:val="0"/>
                <w:numId w:val="2"/>
              </w:numPr>
              <w:spacing w:after="0"/>
              <w:jc w:val="both"/>
            </w:pPr>
            <w:r w:rsidRPr="00B408BA">
              <w:t>Cuotas y Aportaciones de Seguridad Social $</w:t>
            </w:r>
            <w:r w:rsidR="00BA0DED">
              <w:t>641,782.1</w:t>
            </w:r>
            <w:r w:rsidRPr="00B408BA">
              <w:t xml:space="preserve"> </w:t>
            </w:r>
            <w:proofErr w:type="spellStart"/>
            <w:r w:rsidRPr="00B408BA">
              <w:t>mdp</w:t>
            </w:r>
            <w:proofErr w:type="spellEnd"/>
          </w:p>
          <w:p w14:paraId="0FAEBB91" w14:textId="330868D6" w:rsidR="00D64E14" w:rsidRPr="00B408BA" w:rsidRDefault="00D64E14" w:rsidP="00D64E14">
            <w:pPr>
              <w:pStyle w:val="Prrafodelista"/>
              <w:numPr>
                <w:ilvl w:val="0"/>
                <w:numId w:val="2"/>
              </w:numPr>
              <w:spacing w:after="0"/>
              <w:jc w:val="both"/>
            </w:pPr>
            <w:r w:rsidRPr="00B408BA">
              <w:t>Contribuciones de Mejoras $</w:t>
            </w:r>
            <w:r w:rsidR="00BA0DED">
              <w:t>39.6</w:t>
            </w:r>
            <w:r w:rsidRPr="00B408BA">
              <w:t xml:space="preserve"> </w:t>
            </w:r>
            <w:proofErr w:type="spellStart"/>
            <w:r w:rsidRPr="00B408BA">
              <w:t>mdp</w:t>
            </w:r>
            <w:proofErr w:type="spellEnd"/>
          </w:p>
          <w:p w14:paraId="3D5E5ECD" w14:textId="140528B0" w:rsidR="00D64E14" w:rsidRPr="00B408BA" w:rsidRDefault="00D64E14" w:rsidP="00BA0DED">
            <w:pPr>
              <w:pStyle w:val="Prrafodelista"/>
              <w:numPr>
                <w:ilvl w:val="0"/>
                <w:numId w:val="2"/>
              </w:numPr>
              <w:spacing w:after="0"/>
              <w:jc w:val="both"/>
            </w:pPr>
            <w:r w:rsidRPr="00B408BA">
              <w:t>Derechos $</w:t>
            </w:r>
            <w:r w:rsidR="00BA0DED">
              <w:t>157,081.7</w:t>
            </w:r>
            <w:r w:rsidRPr="00B408BA">
              <w:t xml:space="preserve"> </w:t>
            </w:r>
            <w:proofErr w:type="spellStart"/>
            <w:r w:rsidRPr="00B408BA">
              <w:t>mdp</w:t>
            </w:r>
            <w:proofErr w:type="spellEnd"/>
          </w:p>
          <w:p w14:paraId="6867AFFE" w14:textId="4D2D49C1" w:rsidR="00D64E14" w:rsidRPr="00B408BA" w:rsidRDefault="00D64E14" w:rsidP="00BA0DED">
            <w:pPr>
              <w:pStyle w:val="Prrafodelista"/>
              <w:numPr>
                <w:ilvl w:val="0"/>
                <w:numId w:val="2"/>
              </w:numPr>
              <w:spacing w:after="0"/>
              <w:jc w:val="both"/>
            </w:pPr>
            <w:r w:rsidRPr="00B408BA">
              <w:t>Productos $</w:t>
            </w:r>
            <w:r w:rsidR="00BA0DED">
              <w:t>16,488.3</w:t>
            </w:r>
            <w:r w:rsidRPr="00B408BA">
              <w:t xml:space="preserve"> </w:t>
            </w:r>
            <w:proofErr w:type="spellStart"/>
            <w:r w:rsidRPr="00B408BA">
              <w:t>mdp</w:t>
            </w:r>
            <w:proofErr w:type="spellEnd"/>
          </w:p>
          <w:p w14:paraId="6CD79516" w14:textId="1E56C6A2" w:rsidR="00D64E14" w:rsidRPr="00B408BA" w:rsidRDefault="00D64E14" w:rsidP="00D64E14">
            <w:pPr>
              <w:pStyle w:val="Prrafodelista"/>
              <w:numPr>
                <w:ilvl w:val="0"/>
                <w:numId w:val="2"/>
              </w:numPr>
              <w:spacing w:after="0"/>
              <w:jc w:val="both"/>
            </w:pPr>
            <w:r w:rsidRPr="00B408BA">
              <w:t>Aprovechamientos $2</w:t>
            </w:r>
            <w:r w:rsidR="00BA0DED">
              <w:t>0</w:t>
            </w:r>
            <w:r w:rsidRPr="00B408BA">
              <w:t>3,</w:t>
            </w:r>
            <w:r w:rsidR="00BA0DED">
              <w:t>520</w:t>
            </w:r>
            <w:r w:rsidRPr="00B408BA">
              <w:t>.</w:t>
            </w:r>
            <w:r w:rsidR="00BA0DED">
              <w:t>5</w:t>
            </w:r>
            <w:r w:rsidRPr="00B408BA">
              <w:t xml:space="preserve"> </w:t>
            </w:r>
            <w:proofErr w:type="spellStart"/>
            <w:r w:rsidRPr="00B408BA">
              <w:t>mdp</w:t>
            </w:r>
            <w:proofErr w:type="spellEnd"/>
          </w:p>
          <w:p w14:paraId="257F69D3" w14:textId="03A3D5C2" w:rsidR="00D64E14" w:rsidRPr="00B408BA" w:rsidRDefault="00D64E14" w:rsidP="00D64E14">
            <w:pPr>
              <w:pStyle w:val="Prrafodelista"/>
              <w:numPr>
                <w:ilvl w:val="0"/>
                <w:numId w:val="2"/>
              </w:numPr>
              <w:spacing w:after="0"/>
              <w:jc w:val="both"/>
            </w:pPr>
            <w:r w:rsidRPr="00B408BA">
              <w:t>Ingresos por Ventas de Bienes, Prestación de Servicios y Otros Ingresos $1,</w:t>
            </w:r>
            <w:r w:rsidR="00BA0DED">
              <w:t>630,973.6</w:t>
            </w:r>
            <w:r w:rsidRPr="00B408BA">
              <w:t xml:space="preserve"> </w:t>
            </w:r>
            <w:proofErr w:type="spellStart"/>
            <w:r w:rsidRPr="00B408BA">
              <w:t>mdp</w:t>
            </w:r>
            <w:proofErr w:type="spellEnd"/>
          </w:p>
          <w:p w14:paraId="240B8ECF" w14:textId="147D9E5E" w:rsidR="00D64E14" w:rsidRPr="00B408BA" w:rsidRDefault="00D64E14" w:rsidP="00D64E14">
            <w:pPr>
              <w:pStyle w:val="Prrafodelista"/>
              <w:numPr>
                <w:ilvl w:val="0"/>
                <w:numId w:val="2"/>
              </w:numPr>
              <w:spacing w:after="0"/>
              <w:jc w:val="both"/>
            </w:pPr>
            <w:r w:rsidRPr="00B408BA">
              <w:t>Transferencias, Asignaciones, Subsidios y Subvenciones, y Pensiones y Jubilaciones $2</w:t>
            </w:r>
            <w:r w:rsidR="00BA0DED">
              <w:t>32</w:t>
            </w:r>
            <w:r w:rsidRPr="00B408BA">
              <w:t>,</w:t>
            </w:r>
            <w:r w:rsidR="00BA0DED">
              <w:t>630.4</w:t>
            </w:r>
            <w:r w:rsidRPr="00B408BA">
              <w:t xml:space="preserve"> </w:t>
            </w:r>
            <w:proofErr w:type="spellStart"/>
            <w:r w:rsidRPr="00B408BA">
              <w:t>mdp</w:t>
            </w:r>
            <w:proofErr w:type="spellEnd"/>
          </w:p>
          <w:p w14:paraId="6A7255CA" w14:textId="2A785FD6" w:rsidR="00D64E14" w:rsidRPr="00B408BA" w:rsidRDefault="00D64E14" w:rsidP="00D64E14">
            <w:pPr>
              <w:pStyle w:val="Prrafodelista"/>
              <w:numPr>
                <w:ilvl w:val="0"/>
                <w:numId w:val="2"/>
              </w:numPr>
              <w:spacing w:after="0"/>
              <w:jc w:val="both"/>
            </w:pPr>
            <w:r w:rsidRPr="00B408BA">
              <w:t>Ingresos Derivados de Financiamientos $1,</w:t>
            </w:r>
            <w:r w:rsidR="00BA0DED">
              <w:t>47</w:t>
            </w:r>
            <w:r w:rsidRPr="00B408BA">
              <w:t>2,6</w:t>
            </w:r>
            <w:r w:rsidR="00BA0DED">
              <w:t>2</w:t>
            </w:r>
            <w:r w:rsidRPr="00B408BA">
              <w:t>6.</w:t>
            </w:r>
            <w:r w:rsidR="00BA0DED">
              <w:t>4</w:t>
            </w:r>
            <w:r w:rsidRPr="00B408BA">
              <w:t xml:space="preserve"> </w:t>
            </w:r>
            <w:proofErr w:type="spellStart"/>
            <w:r w:rsidRPr="00B408BA">
              <w:t>mdp</w:t>
            </w:r>
            <w:proofErr w:type="spellEnd"/>
          </w:p>
          <w:p w14:paraId="3F52283C" w14:textId="77777777" w:rsidR="00D64E14" w:rsidRPr="00B408BA" w:rsidRDefault="00D64E14" w:rsidP="00EF3CAC">
            <w:pPr>
              <w:pStyle w:val="Prrafodelista"/>
              <w:spacing w:after="0"/>
              <w:jc w:val="both"/>
            </w:pPr>
          </w:p>
          <w:p w14:paraId="4DDE5751" w14:textId="77777777" w:rsidR="00D64E14" w:rsidRPr="00B408BA" w:rsidRDefault="00D64E14" w:rsidP="00EF3CAC">
            <w:pPr>
              <w:spacing w:after="0"/>
              <w:jc w:val="center"/>
            </w:pPr>
            <w:r w:rsidRPr="00B408BA">
              <w:rPr>
                <w:noProof/>
                <w:lang w:eastAsia="es-MX"/>
              </w:rPr>
              <w:drawing>
                <wp:inline distT="0" distB="0" distL="0" distR="0" wp14:anchorId="54256A1D" wp14:editId="6287B830">
                  <wp:extent cx="5676900" cy="4752975"/>
                  <wp:effectExtent l="0" t="0" r="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7EAB47" w14:textId="74EDC603" w:rsidR="00D64E14" w:rsidRPr="00B408BA" w:rsidRDefault="00D64E14" w:rsidP="001B7DB1">
            <w:pPr>
              <w:spacing w:after="0"/>
              <w:jc w:val="center"/>
              <w:rPr>
                <w:rStyle w:val="Referenciasutil"/>
              </w:rPr>
            </w:pPr>
            <w:r w:rsidRPr="00B408BA">
              <w:rPr>
                <w:rStyle w:val="Referenciasutil"/>
              </w:rPr>
              <w:t>Ilustración. - Elaboración propia con base en la LIF 202</w:t>
            </w:r>
            <w:r w:rsidR="001B7DB1">
              <w:rPr>
                <w:rStyle w:val="Referenciasutil"/>
              </w:rPr>
              <w:t>6</w:t>
            </w:r>
            <w:r w:rsidRPr="00B408BA">
              <w:rPr>
                <w:rStyle w:val="Referenciasutil"/>
              </w:rPr>
              <w:t>.</w:t>
            </w:r>
          </w:p>
          <w:p w14:paraId="597D95D0" w14:textId="77777777" w:rsidR="00D64E14" w:rsidRPr="00B408BA" w:rsidRDefault="00D64E14" w:rsidP="00EF3CAC">
            <w:pPr>
              <w:spacing w:after="0"/>
              <w:jc w:val="both"/>
            </w:pPr>
          </w:p>
          <w:p w14:paraId="41E9304B" w14:textId="77777777" w:rsidR="00D64E14" w:rsidRPr="00B408BA" w:rsidRDefault="00D64E14" w:rsidP="00EF3CAC">
            <w:pPr>
              <w:spacing w:after="0"/>
              <w:jc w:val="both"/>
            </w:pPr>
          </w:p>
          <w:p w14:paraId="29EE7E05" w14:textId="70AC9E67" w:rsidR="00D64E14" w:rsidRPr="00B408BA" w:rsidRDefault="00D64E14" w:rsidP="00EF3CAC">
            <w:pPr>
              <w:spacing w:after="0" w:line="360" w:lineRule="auto"/>
              <w:jc w:val="both"/>
            </w:pPr>
            <w:r w:rsidRPr="00B408BA">
              <w:lastRenderedPageBreak/>
              <w:t>El Proyecto de Presupuesto de Egresos de la Federación 202</w:t>
            </w:r>
            <w:r w:rsidR="00965834">
              <w:t>6</w:t>
            </w:r>
            <w:r w:rsidRPr="00B408BA">
              <w:t xml:space="preserve">; se estima un gasto de: </w:t>
            </w:r>
            <w:r w:rsidR="00965834">
              <w:t>10,193,683.7</w:t>
            </w:r>
            <w:r w:rsidRPr="00B408BA">
              <w:t xml:space="preserve"> millones de pesos, mismos que se distribuyen de la siguiente manera:</w:t>
            </w:r>
          </w:p>
          <w:p w14:paraId="3D655850" w14:textId="7DB13472" w:rsidR="00D64E14" w:rsidRPr="00B408BA" w:rsidRDefault="00D64E14" w:rsidP="00EF3CAC">
            <w:pPr>
              <w:spacing w:after="0" w:line="360" w:lineRule="auto"/>
              <w:jc w:val="both"/>
            </w:pPr>
            <w:r w:rsidRPr="00B408BA">
              <w:t>Para el Gasto Neto No Programable para 202</w:t>
            </w:r>
            <w:r w:rsidR="00965834">
              <w:t>6</w:t>
            </w:r>
            <w:r w:rsidRPr="00B408BA">
              <w:t xml:space="preserve"> es de: $</w:t>
            </w:r>
            <w:r w:rsidR="00965834">
              <w:t>3,098,974.9</w:t>
            </w:r>
            <w:r w:rsidRPr="00B408BA">
              <w:t xml:space="preserve"> millones de pesos.</w:t>
            </w:r>
          </w:p>
          <w:p w14:paraId="73F9CE60" w14:textId="6A885FDA" w:rsidR="00D64E14" w:rsidRPr="00B408BA" w:rsidRDefault="00D64E14" w:rsidP="00EF3CAC">
            <w:pPr>
              <w:spacing w:after="0" w:line="360" w:lineRule="auto"/>
              <w:jc w:val="both"/>
            </w:pPr>
          </w:p>
          <w:p w14:paraId="516F267F" w14:textId="1CB0D617" w:rsidR="00D64E14" w:rsidRPr="00B408BA" w:rsidRDefault="00D64E14" w:rsidP="00EF3CAC">
            <w:pPr>
              <w:jc w:val="both"/>
            </w:pPr>
            <w:r w:rsidRPr="00B408BA">
              <w:t>Para el Gasto Programable para 202</w:t>
            </w:r>
            <w:r w:rsidR="00D57A8F">
              <w:t>6</w:t>
            </w:r>
            <w:r w:rsidRPr="00B408BA">
              <w:t xml:space="preserve"> es de: $</w:t>
            </w:r>
            <w:r w:rsidR="00965834">
              <w:t>7,094,708.8</w:t>
            </w:r>
            <w:r w:rsidRPr="00B408BA">
              <w:t xml:space="preserve"> millones de pesos.</w:t>
            </w:r>
          </w:p>
          <w:p w14:paraId="3024A616" w14:textId="0A7743F3" w:rsidR="00D64E14" w:rsidRPr="00B408BA" w:rsidRDefault="00D1714D" w:rsidP="00EF3CAC">
            <w:pPr>
              <w:jc w:val="both"/>
            </w:pPr>
            <w:r w:rsidRPr="00D1714D">
              <w:rPr>
                <w:noProof/>
              </w:rPr>
              <w:drawing>
                <wp:inline distT="0" distB="0" distL="0" distR="0" wp14:anchorId="1C7681CB" wp14:editId="162B96E1">
                  <wp:extent cx="5620385" cy="23812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20385" cy="2381250"/>
                          </a:xfrm>
                          <a:prstGeom prst="rect">
                            <a:avLst/>
                          </a:prstGeom>
                        </pic:spPr>
                      </pic:pic>
                    </a:graphicData>
                  </a:graphic>
                </wp:inline>
              </w:drawing>
            </w:r>
          </w:p>
          <w:p w14:paraId="09046C91" w14:textId="77777777" w:rsidR="00D64E14" w:rsidRPr="00B408BA" w:rsidRDefault="00D64E14" w:rsidP="00EF3CAC">
            <w:pPr>
              <w:jc w:val="both"/>
            </w:pPr>
            <w:r w:rsidRPr="00B408BA">
              <w:t>De acuerdo con la clasificación funcional del gasto esta se compone, de la siguiente forma:</w:t>
            </w:r>
          </w:p>
          <w:p w14:paraId="09C5B099" w14:textId="272FB302" w:rsidR="00D64E14" w:rsidRPr="00B408BA" w:rsidRDefault="00965834" w:rsidP="00EF3CAC">
            <w:pPr>
              <w:spacing w:after="0"/>
              <w:jc w:val="center"/>
            </w:pPr>
            <w:r w:rsidRPr="00965834">
              <w:rPr>
                <w:noProof/>
              </w:rPr>
              <w:drawing>
                <wp:inline distT="0" distB="0" distL="0" distR="0" wp14:anchorId="6BF31CB4" wp14:editId="039DA15D">
                  <wp:extent cx="5620385" cy="36576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20385" cy="3657600"/>
                          </a:xfrm>
                          <a:prstGeom prst="rect">
                            <a:avLst/>
                          </a:prstGeom>
                        </pic:spPr>
                      </pic:pic>
                    </a:graphicData>
                  </a:graphic>
                </wp:inline>
              </w:drawing>
            </w:r>
          </w:p>
          <w:p w14:paraId="0014A0B9" w14:textId="77777777" w:rsidR="00D64E14" w:rsidRPr="00B408BA" w:rsidRDefault="00D64E14" w:rsidP="00EF3CAC">
            <w:pPr>
              <w:spacing w:after="0"/>
              <w:jc w:val="center"/>
              <w:rPr>
                <w:rStyle w:val="Referenciasutil"/>
                <w:sz w:val="18"/>
              </w:rPr>
            </w:pPr>
            <w:r w:rsidRPr="00B408BA">
              <w:rPr>
                <w:rStyle w:val="Referenciasutil"/>
                <w:sz w:val="18"/>
              </w:rPr>
              <w:t xml:space="preserve">ILUSTRACIÓN. - Fuente: Infografía del Paquete Económico 2025, disponible en: </w:t>
            </w:r>
          </w:p>
          <w:p w14:paraId="32668318" w14:textId="400BFFB1" w:rsidR="00D64E14" w:rsidRPr="00B408BA" w:rsidRDefault="00D64E14" w:rsidP="00EF3CAC">
            <w:pPr>
              <w:spacing w:after="0"/>
              <w:jc w:val="center"/>
              <w:rPr>
                <w:rStyle w:val="Referenciasutil"/>
                <w:sz w:val="18"/>
              </w:rPr>
            </w:pPr>
            <w:r w:rsidRPr="00B408BA">
              <w:rPr>
                <w:rStyle w:val="Referenciasutil"/>
                <w:sz w:val="18"/>
              </w:rPr>
              <w:t>https://www.transparenciapresupuestaria.gob.mx/es/PTP/Infografia_PPEF_202</w:t>
            </w:r>
            <w:r w:rsidR="00D1714D">
              <w:rPr>
                <w:rStyle w:val="Referenciasutil"/>
                <w:sz w:val="18"/>
              </w:rPr>
              <w:t>6</w:t>
            </w:r>
          </w:p>
          <w:p w14:paraId="21BFF7CE" w14:textId="77777777" w:rsidR="00D64E14" w:rsidRPr="00B408BA" w:rsidRDefault="00D64E14" w:rsidP="00EF3CAC">
            <w:pPr>
              <w:spacing w:after="0"/>
            </w:pPr>
          </w:p>
          <w:p w14:paraId="5C9250E8" w14:textId="77777777" w:rsidR="00D64E14" w:rsidRPr="00B408BA" w:rsidRDefault="00D64E14" w:rsidP="00EF3CAC">
            <w:pPr>
              <w:spacing w:after="0"/>
              <w:jc w:val="center"/>
              <w:rPr>
                <w:smallCaps/>
                <w:color w:val="5A5A5A" w:themeColor="text1" w:themeTint="A5"/>
              </w:rPr>
            </w:pPr>
          </w:p>
          <w:p w14:paraId="7436C186" w14:textId="5C5F0077" w:rsidR="00D64E14" w:rsidRDefault="00D64E14" w:rsidP="00EF3CAC">
            <w:pPr>
              <w:spacing w:after="0" w:line="360" w:lineRule="auto"/>
              <w:jc w:val="both"/>
            </w:pPr>
            <w:r w:rsidRPr="00B408BA">
              <w:t>Respecto al Gasto Federalizado, este se distribuye tal y como se muestra a continuación (cifras en millones de pesos):</w:t>
            </w:r>
          </w:p>
          <w:p w14:paraId="43A1AD92" w14:textId="77777777" w:rsidR="0011546C" w:rsidRDefault="0011546C" w:rsidP="00EF3CAC">
            <w:pPr>
              <w:spacing w:after="0" w:line="360" w:lineRule="auto"/>
              <w:jc w:val="both"/>
            </w:pPr>
          </w:p>
          <w:p w14:paraId="788AEE10" w14:textId="77777777" w:rsidR="0011546C" w:rsidRDefault="0011546C" w:rsidP="0011546C">
            <w:pPr>
              <w:pStyle w:val="Prrafodelista"/>
              <w:numPr>
                <w:ilvl w:val="0"/>
                <w:numId w:val="7"/>
              </w:numPr>
              <w:spacing w:after="0" w:line="360" w:lineRule="auto"/>
              <w:jc w:val="both"/>
            </w:pPr>
            <w:r>
              <w:t xml:space="preserve">Participaciones Federales (Ramo 28) $1,456,045.9 </w:t>
            </w:r>
          </w:p>
          <w:p w14:paraId="6C64C4C8" w14:textId="77777777" w:rsidR="0011546C" w:rsidRDefault="0011546C" w:rsidP="0011546C">
            <w:pPr>
              <w:pStyle w:val="Prrafodelista"/>
              <w:numPr>
                <w:ilvl w:val="0"/>
                <w:numId w:val="7"/>
              </w:numPr>
              <w:spacing w:after="0" w:line="360" w:lineRule="auto"/>
              <w:jc w:val="both"/>
            </w:pPr>
            <w:r>
              <w:t xml:space="preserve"> Aportaciones Federales (Ramos 33) $1,127,075.3 </w:t>
            </w:r>
          </w:p>
          <w:p w14:paraId="2E87BB5B" w14:textId="77777777" w:rsidR="0011546C" w:rsidRDefault="0011546C" w:rsidP="0011546C">
            <w:pPr>
              <w:pStyle w:val="Prrafodelista"/>
              <w:numPr>
                <w:ilvl w:val="0"/>
                <w:numId w:val="7"/>
              </w:numPr>
              <w:spacing w:after="0" w:line="360" w:lineRule="auto"/>
              <w:jc w:val="both"/>
            </w:pPr>
            <w:r>
              <w:t>Gasto Federalizado en el (Ramo 232) $13,510.7</w:t>
            </w:r>
          </w:p>
          <w:p w14:paraId="20F16527" w14:textId="3C4A1A7B" w:rsidR="0011546C" w:rsidRDefault="0011546C" w:rsidP="0011546C">
            <w:pPr>
              <w:pStyle w:val="Prrafodelista"/>
              <w:numPr>
                <w:ilvl w:val="0"/>
                <w:numId w:val="7"/>
              </w:numPr>
              <w:spacing w:after="0" w:line="360" w:lineRule="auto"/>
              <w:jc w:val="both"/>
            </w:pPr>
            <w:r>
              <w:t xml:space="preserve">Convenios de Descentralización $133,376.7 </w:t>
            </w:r>
          </w:p>
          <w:p w14:paraId="498E557C" w14:textId="3B34F1F5" w:rsidR="0011546C" w:rsidRDefault="0011546C" w:rsidP="00EF3CAC">
            <w:pPr>
              <w:pStyle w:val="Prrafodelista"/>
              <w:numPr>
                <w:ilvl w:val="0"/>
                <w:numId w:val="7"/>
              </w:numPr>
              <w:spacing w:after="0" w:line="360" w:lineRule="auto"/>
              <w:jc w:val="both"/>
            </w:pPr>
            <w:r>
              <w:t xml:space="preserve">Salud Pública3 $80,768.4 </w:t>
            </w:r>
          </w:p>
          <w:p w14:paraId="625DF2E4" w14:textId="77777777" w:rsidR="0011546C" w:rsidRPr="00B408BA" w:rsidRDefault="0011546C" w:rsidP="00EF3CAC">
            <w:pPr>
              <w:spacing w:after="0" w:line="360" w:lineRule="auto"/>
              <w:jc w:val="both"/>
            </w:pPr>
          </w:p>
          <w:p w14:paraId="73AB2B6F" w14:textId="77777777" w:rsidR="00D64E14" w:rsidRPr="00B408BA" w:rsidRDefault="00D64E14" w:rsidP="00EF3CAC">
            <w:pPr>
              <w:spacing w:after="0"/>
              <w:jc w:val="center"/>
            </w:pPr>
            <w:r w:rsidRPr="00B408BA">
              <w:rPr>
                <w:noProof/>
                <w:lang w:eastAsia="es-MX"/>
              </w:rPr>
              <w:drawing>
                <wp:inline distT="0" distB="0" distL="0" distR="0" wp14:anchorId="25161BBF" wp14:editId="2AF51C58">
                  <wp:extent cx="5486400" cy="274320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AE47F9" w14:textId="22C16485" w:rsidR="00D64E14" w:rsidRPr="00B408BA" w:rsidRDefault="00D64E14" w:rsidP="00EF3CAC">
            <w:pPr>
              <w:spacing w:after="0"/>
              <w:jc w:val="center"/>
              <w:rPr>
                <w:rStyle w:val="Referenciasutil"/>
              </w:rPr>
            </w:pPr>
            <w:r w:rsidRPr="00B408BA">
              <w:rPr>
                <w:rStyle w:val="Referenciasutil"/>
              </w:rPr>
              <w:t>Ilustración. - Elaboración propia con base en el PE 202</w:t>
            </w:r>
            <w:r w:rsidR="008C4A55">
              <w:rPr>
                <w:rStyle w:val="Referenciasutil"/>
              </w:rPr>
              <w:t>6</w:t>
            </w:r>
            <w:r w:rsidRPr="00B408BA">
              <w:rPr>
                <w:rStyle w:val="Referenciasutil"/>
              </w:rPr>
              <w:t>.</w:t>
            </w:r>
          </w:p>
          <w:p w14:paraId="210BDEAC" w14:textId="77777777" w:rsidR="00D64E14" w:rsidRPr="00B408BA" w:rsidRDefault="00D64E14" w:rsidP="00EF3CAC">
            <w:pPr>
              <w:spacing w:after="0"/>
              <w:jc w:val="both"/>
            </w:pPr>
          </w:p>
          <w:p w14:paraId="5F6A1D56" w14:textId="77777777" w:rsidR="00D64E14" w:rsidRPr="00B408BA" w:rsidRDefault="00D64E14" w:rsidP="00EF3CAC">
            <w:pPr>
              <w:spacing w:after="0"/>
              <w:jc w:val="both"/>
            </w:pPr>
          </w:p>
          <w:p w14:paraId="04F45692" w14:textId="77777777" w:rsidR="00D64E14" w:rsidRPr="00B408BA" w:rsidRDefault="00D64E14" w:rsidP="00EF3CAC">
            <w:pPr>
              <w:spacing w:after="0" w:line="360" w:lineRule="auto"/>
              <w:jc w:val="both"/>
            </w:pPr>
            <w:r w:rsidRPr="00B408BA">
              <w:t>En el ámbito Local, Zapopan mantiene una fortaleza respecto a los niveles de recaudación de ingresos propios, lo anterior, continúa potencializando la inversión pública y la atracción de capitales al municipio, esto ha generado un entorno favorable y atractivo para nuevas inversiones.</w:t>
            </w:r>
          </w:p>
          <w:p w14:paraId="2CA9C8DA" w14:textId="77777777" w:rsidR="00D64E14" w:rsidRPr="00B408BA" w:rsidRDefault="00D64E14" w:rsidP="00EF3CAC">
            <w:pPr>
              <w:spacing w:after="0"/>
              <w:jc w:val="both"/>
            </w:pPr>
          </w:p>
          <w:p w14:paraId="088B1450" w14:textId="77777777" w:rsidR="00D64E14" w:rsidRPr="00B408BA" w:rsidRDefault="00D64E14" w:rsidP="00EF3CAC">
            <w:pPr>
              <w:spacing w:after="0" w:line="360" w:lineRule="auto"/>
              <w:jc w:val="both"/>
            </w:pPr>
            <w:r w:rsidRPr="00B408BA">
              <w:t xml:space="preserve">Referente al recurso federal transferido, el Municipio de Zapopan continúa incrementando los coeficientes de distribución de las Participaciones y Aportaciones, lo anterior, derivado de que lo coeficientes basados en el esfuerzo recaudatorio, la recaudación por impuesto predial y derechos por el cobro de agua han permitido que el Municipio sea acreedor a mayor cantidad de recursos por </w:t>
            </w:r>
            <w:r w:rsidRPr="00B408BA">
              <w:lastRenderedPageBreak/>
              <w:t>parte del Estado y la Federación. Este incremento ha permitido que Zapopan utilice más recursos para potencializar la infraestructura urbana, fortalecimiento se la seguridad pública y disminución del rezago social en el municipio.</w:t>
            </w:r>
          </w:p>
          <w:p w14:paraId="5A96EE9E" w14:textId="77777777" w:rsidR="00D64E14" w:rsidRPr="00B408BA" w:rsidRDefault="00D64E14" w:rsidP="00EF3CAC">
            <w:pPr>
              <w:spacing w:after="0" w:line="360" w:lineRule="auto"/>
              <w:jc w:val="both"/>
              <w:rPr>
                <w:lang w:eastAsia="es-MX"/>
              </w:rPr>
            </w:pPr>
            <w:r w:rsidRPr="00B408BA">
              <w:t>Finalmente, el perfil crediticio del</w:t>
            </w:r>
            <w:r w:rsidRPr="00B408BA">
              <w:rPr>
                <w:lang w:eastAsia="es-MX"/>
              </w:rPr>
              <w:t xml:space="preserve"> Municipio de Zapopan se sitúa entre los mejores del país, lo anterior debido a los factores antes mencionados como la alta recaudación de ingresos propios entre otros, los que dio como resultado calificaciones de:</w:t>
            </w:r>
          </w:p>
          <w:p w14:paraId="6B4D0E05" w14:textId="77777777" w:rsidR="00D64E14" w:rsidRPr="00B408BA" w:rsidRDefault="00D64E14" w:rsidP="00D64E14">
            <w:pPr>
              <w:pStyle w:val="Prrafodelista"/>
              <w:numPr>
                <w:ilvl w:val="0"/>
                <w:numId w:val="3"/>
              </w:numPr>
              <w:spacing w:after="0"/>
              <w:jc w:val="both"/>
              <w:rPr>
                <w:lang w:eastAsia="es-MX"/>
              </w:rPr>
            </w:pPr>
            <w:r w:rsidRPr="00B408BA">
              <w:rPr>
                <w:b/>
                <w:lang w:eastAsia="es-MX"/>
              </w:rPr>
              <w:t>BBB-</w:t>
            </w:r>
            <w:r w:rsidRPr="00B408BA">
              <w:rPr>
                <w:lang w:eastAsia="es-MX"/>
              </w:rPr>
              <w:t xml:space="preserve"> perspectiva estable a largo plazo en moneda local del municipio de Zapopan, Jalisco</w:t>
            </w:r>
          </w:p>
          <w:p w14:paraId="061FC1DE" w14:textId="77777777" w:rsidR="00D64E14" w:rsidRPr="00B408BA" w:rsidRDefault="00D64E14" w:rsidP="00D64E14">
            <w:pPr>
              <w:pStyle w:val="Prrafodelista"/>
              <w:numPr>
                <w:ilvl w:val="0"/>
                <w:numId w:val="3"/>
              </w:numPr>
              <w:spacing w:after="0"/>
              <w:jc w:val="both"/>
              <w:rPr>
                <w:lang w:eastAsia="es-MX"/>
              </w:rPr>
            </w:pPr>
            <w:proofErr w:type="gramStart"/>
            <w:r w:rsidRPr="00B408BA">
              <w:rPr>
                <w:b/>
                <w:lang w:eastAsia="es-MX"/>
              </w:rPr>
              <w:t>AAA(</w:t>
            </w:r>
            <w:proofErr w:type="spellStart"/>
            <w:proofErr w:type="gramEnd"/>
            <w:r w:rsidRPr="00B408BA">
              <w:rPr>
                <w:b/>
                <w:lang w:eastAsia="es-MX"/>
              </w:rPr>
              <w:t>mex</w:t>
            </w:r>
            <w:proofErr w:type="spellEnd"/>
            <w:r w:rsidRPr="00B408BA">
              <w:rPr>
                <w:b/>
                <w:lang w:eastAsia="es-MX"/>
              </w:rPr>
              <w:t>)</w:t>
            </w:r>
            <w:r w:rsidRPr="00B408BA">
              <w:rPr>
                <w:bCs/>
                <w:lang w:eastAsia="es-MX"/>
              </w:rPr>
              <w:t xml:space="preserve"> </w:t>
            </w:r>
            <w:r w:rsidRPr="00B408BA">
              <w:rPr>
                <w:lang w:eastAsia="es-MX"/>
              </w:rPr>
              <w:t>perspectiva estable</w:t>
            </w:r>
            <w:r w:rsidRPr="00B408BA">
              <w:rPr>
                <w:bCs/>
                <w:lang w:eastAsia="es-MX"/>
              </w:rPr>
              <w:t xml:space="preserve"> en calificación nacional de largo plazo</w:t>
            </w:r>
            <w:r w:rsidRPr="00B408BA">
              <w:rPr>
                <w:lang w:eastAsia="es-MX"/>
              </w:rPr>
              <w:t>.</w:t>
            </w:r>
          </w:p>
          <w:p w14:paraId="0B5D126E" w14:textId="77777777" w:rsidR="00D64E14" w:rsidRPr="00B408BA" w:rsidRDefault="00D64E14" w:rsidP="00EF3CAC">
            <w:pPr>
              <w:spacing w:after="0"/>
              <w:jc w:val="both"/>
              <w:rPr>
                <w:lang w:eastAsia="es-MX"/>
              </w:rPr>
            </w:pPr>
          </w:p>
          <w:p w14:paraId="0C98C2F5" w14:textId="77777777" w:rsidR="00D64E14" w:rsidRPr="00B408BA" w:rsidRDefault="00D64E14" w:rsidP="00EF3CAC">
            <w:pPr>
              <w:spacing w:after="0"/>
              <w:jc w:val="both"/>
              <w:rPr>
                <w:lang w:eastAsia="es-MX"/>
              </w:rPr>
            </w:pPr>
            <w:r w:rsidRPr="00B408BA">
              <w:rPr>
                <w:lang w:eastAsia="es-MX"/>
              </w:rPr>
              <w:t xml:space="preserve">Ambas calificaciones afirmadas por Fitch Ratings, de las cuales fueron emitida por </w:t>
            </w:r>
            <w:proofErr w:type="spellStart"/>
            <w:r w:rsidRPr="00B408BA">
              <w:rPr>
                <w:lang w:eastAsia="es-MX"/>
              </w:rPr>
              <w:t>Issuer</w:t>
            </w:r>
            <w:proofErr w:type="spellEnd"/>
            <w:r w:rsidRPr="00B408BA">
              <w:rPr>
                <w:lang w:eastAsia="es-MX"/>
              </w:rPr>
              <w:t xml:space="preserve"> Default Rating (IDR) </w:t>
            </w:r>
          </w:p>
          <w:p w14:paraId="5B7BDEEF" w14:textId="77777777" w:rsidR="00D64E14" w:rsidRPr="00B408BA" w:rsidRDefault="00D64E14" w:rsidP="00EF3CAC">
            <w:pPr>
              <w:spacing w:after="0"/>
              <w:jc w:val="both"/>
              <w:rPr>
                <w:lang w:eastAsia="es-MX"/>
              </w:rPr>
            </w:pPr>
          </w:p>
          <w:p w14:paraId="3A245DED" w14:textId="77777777" w:rsidR="00D64E14" w:rsidRPr="00B408BA" w:rsidRDefault="00D64E14" w:rsidP="00EF3CAC">
            <w:pPr>
              <w:spacing w:after="0" w:line="360" w:lineRule="auto"/>
              <w:jc w:val="both"/>
              <w:rPr>
                <w:lang w:eastAsia="es-MX"/>
              </w:rPr>
            </w:pPr>
            <w:r w:rsidRPr="00B408BA">
              <w:rPr>
                <w:lang w:eastAsia="es-MX"/>
              </w:rPr>
              <w:t xml:space="preserve">Se espera que el Municipio de Zapopan continúe con finanzas públicas sanas en gran medida por la fortaleza de sus ingresos propios, apuntalada de las transferencias federales, el buen perfil crediticio y un manejo sostenible de la deuda, además de ser uno de los municipios más importantes en cuanto a atracción de inversiones y la generación de empleos a nivel nacional. </w:t>
            </w:r>
          </w:p>
          <w:p w14:paraId="2034248B" w14:textId="77777777" w:rsidR="00D64E14" w:rsidRPr="00B408BA" w:rsidRDefault="00D64E14" w:rsidP="00EF3CAC">
            <w:pPr>
              <w:spacing w:after="0" w:line="360" w:lineRule="auto"/>
              <w:jc w:val="both"/>
              <w:rPr>
                <w:lang w:eastAsia="es-MX"/>
              </w:rPr>
            </w:pPr>
          </w:p>
          <w:p w14:paraId="0B6A9B00" w14:textId="77777777" w:rsidR="00D64E14" w:rsidRPr="00B408BA" w:rsidRDefault="00D64E14" w:rsidP="00EF3CAC">
            <w:pPr>
              <w:spacing w:after="0" w:line="360" w:lineRule="auto"/>
              <w:jc w:val="both"/>
              <w:rPr>
                <w:lang w:eastAsia="es-MX"/>
              </w:rPr>
            </w:pPr>
            <w:r w:rsidRPr="00B408BA">
              <w:rPr>
                <w:lang w:eastAsia="es-MX"/>
              </w:rPr>
              <w:t>Dentro de la Sesión Ordinaria del día 16 de noviembre del 2023, se aprobó, el Dictamen y Propuesta de Comisiones identificado con el número de expediente 265/23, por el cual se aprueba la suscripción de un convenio modificatorio al Contrato de Concesión del Servicio Público de Alumbrado del Municipio de Zapopan, Jalisco, identificado con la nomenclatura CON 01/2017.</w:t>
            </w:r>
          </w:p>
          <w:p w14:paraId="6877BCD3" w14:textId="77777777" w:rsidR="00D64E14" w:rsidRPr="00B408BA" w:rsidRDefault="00D64E14" w:rsidP="00D64E14">
            <w:pPr>
              <w:pStyle w:val="Prrafodelista"/>
              <w:numPr>
                <w:ilvl w:val="0"/>
                <w:numId w:val="6"/>
              </w:numPr>
              <w:spacing w:after="0"/>
              <w:jc w:val="both"/>
              <w:rPr>
                <w:rStyle w:val="nfasissutil"/>
              </w:rPr>
            </w:pPr>
            <w:r w:rsidRPr="00B408BA">
              <w:rPr>
                <w:rStyle w:val="nfasissutil"/>
              </w:rPr>
              <w:t>Organización y Objeto Social.</w:t>
            </w:r>
          </w:p>
          <w:p w14:paraId="5493E42F" w14:textId="77777777" w:rsidR="00D64E14" w:rsidRPr="00B408BA" w:rsidRDefault="00D64E14" w:rsidP="00EF3CAC">
            <w:pPr>
              <w:pStyle w:val="Prrafodelista"/>
              <w:spacing w:after="0"/>
              <w:ind w:left="1080"/>
              <w:jc w:val="both"/>
              <w:rPr>
                <w:rStyle w:val="nfasissutil"/>
              </w:rPr>
            </w:pPr>
          </w:p>
          <w:p w14:paraId="48A5D0BD" w14:textId="77777777" w:rsidR="00D64E14" w:rsidRPr="00B408BA" w:rsidRDefault="00D64E14" w:rsidP="00D64E14">
            <w:pPr>
              <w:pStyle w:val="Prrafodelista"/>
              <w:numPr>
                <w:ilvl w:val="0"/>
                <w:numId w:val="5"/>
              </w:numPr>
              <w:spacing w:after="0" w:line="360" w:lineRule="auto"/>
              <w:jc w:val="both"/>
              <w:rPr>
                <w:lang w:eastAsia="es-MX"/>
              </w:rPr>
            </w:pPr>
            <w:r w:rsidRPr="00B408BA">
              <w:rPr>
                <w:lang w:eastAsia="es-MX"/>
              </w:rPr>
              <w:t>Objeto Social</w:t>
            </w:r>
          </w:p>
          <w:p w14:paraId="1C45D18E" w14:textId="77777777" w:rsidR="00D64E14" w:rsidRPr="00B408BA" w:rsidRDefault="00D64E14" w:rsidP="00EF3CAC">
            <w:pPr>
              <w:spacing w:after="0" w:line="360" w:lineRule="auto"/>
              <w:jc w:val="both"/>
              <w:rPr>
                <w:lang w:eastAsia="es-MX"/>
              </w:rPr>
            </w:pPr>
            <w:r w:rsidRPr="00B408BA">
              <w:rPr>
                <w:lang w:eastAsia="es-MX"/>
              </w:rPr>
              <w:t>Su objeto es ejercer las facultades y obligaciones que competen al poder ejecutivo, de conformidad con lo dispuesto por la Constitución Política de los Estados Unidos Mexicanos y las demás Leyes, reglamentos y disposiciones jurídicas vigentes en el Municipio.</w:t>
            </w:r>
          </w:p>
          <w:p w14:paraId="3D8507D5" w14:textId="77777777" w:rsidR="00D64E14" w:rsidRPr="00B408BA" w:rsidRDefault="00D64E14" w:rsidP="00D64E14">
            <w:pPr>
              <w:pStyle w:val="Prrafodelista"/>
              <w:numPr>
                <w:ilvl w:val="0"/>
                <w:numId w:val="4"/>
              </w:numPr>
              <w:spacing w:after="0"/>
              <w:jc w:val="both"/>
              <w:rPr>
                <w:rStyle w:val="nfasissutil"/>
              </w:rPr>
            </w:pPr>
            <w:r w:rsidRPr="00B408BA">
              <w:rPr>
                <w:rStyle w:val="nfasissutil"/>
              </w:rPr>
              <w:t>Principal Actividad</w:t>
            </w:r>
          </w:p>
          <w:p w14:paraId="338A48A7" w14:textId="77777777" w:rsidR="00D64E14" w:rsidRDefault="00D64E14" w:rsidP="00EF3CAC">
            <w:pPr>
              <w:spacing w:after="0" w:line="360" w:lineRule="auto"/>
              <w:jc w:val="both"/>
              <w:rPr>
                <w:lang w:eastAsia="es-MX"/>
              </w:rPr>
            </w:pPr>
            <w:r w:rsidRPr="00B408BA">
              <w:rPr>
                <w:lang w:eastAsia="es-MX"/>
              </w:rPr>
              <w:t>Las que se derivan del ejercicio de sus facultades y obligaciones en su categoría de poder ejecutivo del municipio; que organicen la administración Pública Municipal, regulen las materias, procedimientos, funciones y servicios público de su competencia y aseguren la participación ciudadana.</w:t>
            </w:r>
          </w:p>
          <w:p w14:paraId="13C8BAC7" w14:textId="77777777" w:rsidR="00D57A8F" w:rsidRDefault="00D57A8F" w:rsidP="00EF3CAC">
            <w:pPr>
              <w:spacing w:after="0" w:line="360" w:lineRule="auto"/>
              <w:jc w:val="both"/>
              <w:rPr>
                <w:lang w:eastAsia="es-MX"/>
              </w:rPr>
            </w:pPr>
          </w:p>
          <w:p w14:paraId="4C93CC37" w14:textId="77777777" w:rsidR="00D57A8F" w:rsidRPr="00B408BA" w:rsidRDefault="00D57A8F" w:rsidP="00EF3CAC">
            <w:pPr>
              <w:spacing w:after="0" w:line="360" w:lineRule="auto"/>
              <w:jc w:val="both"/>
              <w:rPr>
                <w:lang w:eastAsia="es-MX"/>
              </w:rPr>
            </w:pPr>
          </w:p>
          <w:p w14:paraId="5B11F314" w14:textId="77777777" w:rsidR="00D64E14" w:rsidRPr="00B408BA" w:rsidRDefault="00D64E14" w:rsidP="00D64E14">
            <w:pPr>
              <w:pStyle w:val="Prrafodelista"/>
              <w:numPr>
                <w:ilvl w:val="0"/>
                <w:numId w:val="4"/>
              </w:numPr>
              <w:spacing w:after="0"/>
              <w:jc w:val="both"/>
              <w:rPr>
                <w:rStyle w:val="nfasissutil"/>
              </w:rPr>
            </w:pPr>
            <w:r w:rsidRPr="00B408BA">
              <w:rPr>
                <w:rStyle w:val="nfasissutil"/>
              </w:rPr>
              <w:lastRenderedPageBreak/>
              <w:t>Ejercicio Fiscal</w:t>
            </w:r>
          </w:p>
          <w:p w14:paraId="5AA719E2" w14:textId="4EA42504" w:rsidR="00D64E14" w:rsidRPr="00B408BA" w:rsidRDefault="00D64E14" w:rsidP="00EF3CAC">
            <w:pPr>
              <w:spacing w:after="0" w:line="360" w:lineRule="auto"/>
              <w:jc w:val="both"/>
              <w:rPr>
                <w:lang w:eastAsia="es-MX"/>
              </w:rPr>
            </w:pPr>
            <w:r w:rsidRPr="00B408BA">
              <w:rPr>
                <w:lang w:eastAsia="es-MX"/>
              </w:rPr>
              <w:t xml:space="preserve">La información que se incluye en estas notas corresponde al periodo comprendido del 1 de enero al </w:t>
            </w:r>
            <w:r w:rsidR="00D57A8F">
              <w:rPr>
                <w:lang w:eastAsia="es-MX"/>
              </w:rPr>
              <w:t xml:space="preserve">31 de </w:t>
            </w:r>
            <w:r w:rsidR="0027779E">
              <w:rPr>
                <w:lang w:eastAsia="es-MX"/>
              </w:rPr>
              <w:t xml:space="preserve">diciembre </w:t>
            </w:r>
            <w:r w:rsidR="0027779E" w:rsidRPr="00B408BA">
              <w:rPr>
                <w:lang w:eastAsia="es-MX"/>
              </w:rPr>
              <w:t>2025</w:t>
            </w:r>
            <w:r w:rsidRPr="00B408BA">
              <w:rPr>
                <w:lang w:eastAsia="es-MX"/>
              </w:rPr>
              <w:t>.</w:t>
            </w:r>
          </w:p>
          <w:p w14:paraId="5798E837" w14:textId="77777777" w:rsidR="00D64E14" w:rsidRPr="00B408BA" w:rsidRDefault="00D64E14" w:rsidP="00D64E14">
            <w:pPr>
              <w:pStyle w:val="Prrafodelista"/>
              <w:numPr>
                <w:ilvl w:val="0"/>
                <w:numId w:val="4"/>
              </w:numPr>
              <w:spacing w:after="0"/>
              <w:jc w:val="both"/>
              <w:rPr>
                <w:rStyle w:val="nfasissutil"/>
              </w:rPr>
            </w:pPr>
            <w:r w:rsidRPr="00B408BA">
              <w:rPr>
                <w:rStyle w:val="nfasissutil"/>
              </w:rPr>
              <w:t>Régimen Jurídico</w:t>
            </w:r>
          </w:p>
          <w:p w14:paraId="20115C26" w14:textId="77777777" w:rsidR="00D64E14" w:rsidRPr="00B408BA" w:rsidRDefault="00D64E14" w:rsidP="00EF3CAC">
            <w:pPr>
              <w:spacing w:after="0" w:line="360" w:lineRule="auto"/>
              <w:jc w:val="both"/>
              <w:rPr>
                <w:lang w:eastAsia="es-MX"/>
              </w:rPr>
            </w:pPr>
            <w:r w:rsidRPr="00B408BA">
              <w:rPr>
                <w:lang w:eastAsia="es-MX"/>
              </w:rPr>
              <w:t>El régimen jurídico del Municipio de Zapopan, Jalisco, está constituido como persona moral con fines no lucrativos.</w:t>
            </w:r>
          </w:p>
          <w:p w14:paraId="5508F34C" w14:textId="77777777" w:rsidR="00D64E14" w:rsidRPr="00B408BA" w:rsidRDefault="00D64E14" w:rsidP="00D64E14">
            <w:pPr>
              <w:pStyle w:val="Prrafodelista"/>
              <w:numPr>
                <w:ilvl w:val="0"/>
                <w:numId w:val="4"/>
              </w:numPr>
              <w:spacing w:after="0"/>
              <w:jc w:val="both"/>
              <w:rPr>
                <w:rStyle w:val="nfasissutil"/>
              </w:rPr>
            </w:pPr>
            <w:r w:rsidRPr="00B408BA">
              <w:rPr>
                <w:rStyle w:val="nfasissutil"/>
              </w:rPr>
              <w:t>Consideraciones Fiscales del Ente</w:t>
            </w:r>
          </w:p>
          <w:p w14:paraId="536A8E1D" w14:textId="77777777" w:rsidR="00D64E14" w:rsidRPr="00B408BA" w:rsidRDefault="00D64E14" w:rsidP="00EF3CAC">
            <w:pPr>
              <w:spacing w:after="0" w:line="360" w:lineRule="auto"/>
              <w:jc w:val="both"/>
              <w:rPr>
                <w:lang w:eastAsia="es-MX"/>
              </w:rPr>
            </w:pPr>
            <w:r w:rsidRPr="00B408BA">
              <w:rPr>
                <w:lang w:eastAsia="es-MX"/>
              </w:rPr>
              <w:t xml:space="preserve">De Conformidad con el artículo 86 de la Ley del Impuesto Sobre la Renta, el Municipio de Zapopan, únicamente tiene la obligación de retener y enterar el impuesto y exigir documentación que reúna los requisitos fiscales cuando se hagan pagos a terceros y estén obligados a ello en los términos de la Ley. </w:t>
            </w:r>
          </w:p>
          <w:p w14:paraId="39DAD0C4" w14:textId="77777777" w:rsidR="00D64E14" w:rsidRPr="00B408BA" w:rsidRDefault="00D64E14" w:rsidP="00D64E14">
            <w:pPr>
              <w:pStyle w:val="Prrafodelista"/>
              <w:numPr>
                <w:ilvl w:val="0"/>
                <w:numId w:val="4"/>
              </w:numPr>
              <w:spacing w:after="0"/>
              <w:jc w:val="both"/>
              <w:rPr>
                <w:rStyle w:val="nfasissutil"/>
              </w:rPr>
            </w:pPr>
            <w:r w:rsidRPr="00B408BA">
              <w:rPr>
                <w:rStyle w:val="nfasissutil"/>
              </w:rPr>
              <w:t xml:space="preserve">Estructura Organizacional Básica </w:t>
            </w:r>
          </w:p>
          <w:p w14:paraId="1A87CE11" w14:textId="77777777" w:rsidR="00D64E14" w:rsidRPr="00B408BA" w:rsidRDefault="00000000" w:rsidP="00EF3CAC">
            <w:pPr>
              <w:pStyle w:val="Cita"/>
              <w:spacing w:after="0" w:line="360" w:lineRule="auto"/>
              <w:ind w:left="0"/>
              <w:jc w:val="left"/>
              <w:rPr>
                <w:smallCaps/>
                <w:color w:val="5A5A5A" w:themeColor="text1" w:themeTint="A5"/>
              </w:rPr>
            </w:pPr>
            <w:hyperlink r:id="rId18" w:history="1">
              <w:r w:rsidR="00D64E14" w:rsidRPr="00B408BA">
                <w:rPr>
                  <w:rStyle w:val="Hipervnculo"/>
                </w:rPr>
                <w:t>https://www.zapopan.gob.mx/gobierno/organigrama/</w:t>
              </w:r>
            </w:hyperlink>
          </w:p>
          <w:p w14:paraId="66F91400" w14:textId="77777777" w:rsidR="00D64E14" w:rsidRPr="00B408BA" w:rsidRDefault="00D64E14" w:rsidP="00D64E14">
            <w:pPr>
              <w:pStyle w:val="Prrafodelista"/>
              <w:numPr>
                <w:ilvl w:val="0"/>
                <w:numId w:val="4"/>
              </w:numPr>
              <w:spacing w:after="0"/>
              <w:jc w:val="both"/>
              <w:rPr>
                <w:i/>
                <w:iCs/>
                <w:color w:val="404040" w:themeColor="text1" w:themeTint="BF"/>
              </w:rPr>
            </w:pPr>
            <w:r w:rsidRPr="00B408BA">
              <w:rPr>
                <w:rStyle w:val="nfasissutil"/>
              </w:rPr>
              <w:t>Fideicomisos, mandatos y análogos de los cuales es fideicomitente o fiduciario</w:t>
            </w:r>
          </w:p>
          <w:p w14:paraId="7C813C2E" w14:textId="77777777" w:rsidR="00D64E14" w:rsidRPr="00B408BA" w:rsidRDefault="00D64E14" w:rsidP="00EF3CAC">
            <w:pPr>
              <w:spacing w:after="0" w:line="360" w:lineRule="auto"/>
              <w:jc w:val="both"/>
              <w:rPr>
                <w:lang w:eastAsia="es-MX"/>
              </w:rPr>
            </w:pPr>
            <w:r w:rsidRPr="00B408BA">
              <w:rPr>
                <w:lang w:eastAsia="es-MX"/>
              </w:rPr>
              <w:t xml:space="preserve">NO APLICA </w:t>
            </w:r>
          </w:p>
          <w:p w14:paraId="04EEBE67" w14:textId="77777777" w:rsidR="00D64E14" w:rsidRPr="00B408BA" w:rsidRDefault="00D64E14" w:rsidP="00EF3CAC">
            <w:pPr>
              <w:spacing w:after="0"/>
              <w:jc w:val="both"/>
              <w:rPr>
                <w:bCs/>
                <w:lang w:eastAsia="es-MX"/>
              </w:rPr>
            </w:pPr>
          </w:p>
          <w:p w14:paraId="560B3B7A" w14:textId="77777777" w:rsidR="00D64E14" w:rsidRPr="00B408BA" w:rsidRDefault="00D64E14" w:rsidP="00D64E14">
            <w:pPr>
              <w:pStyle w:val="Prrafodelista"/>
              <w:numPr>
                <w:ilvl w:val="0"/>
                <w:numId w:val="6"/>
              </w:numPr>
              <w:spacing w:after="0"/>
              <w:jc w:val="both"/>
              <w:rPr>
                <w:rStyle w:val="nfasissutil"/>
              </w:rPr>
            </w:pPr>
            <w:r w:rsidRPr="00B408BA">
              <w:rPr>
                <w:rStyle w:val="nfasissutil"/>
              </w:rPr>
              <w:t>Bases de Preparación de los Estados Financieros.</w:t>
            </w:r>
          </w:p>
          <w:p w14:paraId="07F58ACB" w14:textId="77777777" w:rsidR="00D64E14" w:rsidRPr="00B408BA" w:rsidRDefault="00D64E14" w:rsidP="00EF3CAC">
            <w:pPr>
              <w:pStyle w:val="Prrafodelista"/>
              <w:spacing w:after="0"/>
              <w:ind w:left="360"/>
              <w:jc w:val="both"/>
              <w:rPr>
                <w:rStyle w:val="nfasissutil"/>
              </w:rPr>
            </w:pPr>
          </w:p>
          <w:p w14:paraId="71DA4E8E" w14:textId="77777777" w:rsidR="00D64E14" w:rsidRPr="00B408BA" w:rsidRDefault="00D64E14" w:rsidP="00EF3CAC">
            <w:pPr>
              <w:spacing w:after="0" w:line="360" w:lineRule="auto"/>
              <w:jc w:val="both"/>
              <w:rPr>
                <w:lang w:eastAsia="es-MX"/>
              </w:rPr>
            </w:pPr>
            <w:r w:rsidRPr="00B408BA">
              <w:rPr>
                <w:lang w:eastAsia="es-MX"/>
              </w:rPr>
              <w:t>Los Estados Financieros y la información emanada de la contabilidad se encuentran expresadas en moneda nacional se sujetan a criterios de utilidad, confiabilidad, relevancia, comprensibilidad y de comparación, así como a otros atributos asociados a cada uno de ellos, como oportunidad, veracidad, representatividad, objetividad, suficiencia, posibilidad de predicción e importancia relativa, con el fin de alcanzar la modernización que la Ley General de Contabilidad Gubernamental determina.</w:t>
            </w:r>
          </w:p>
          <w:p w14:paraId="5F04A25B" w14:textId="77777777" w:rsidR="00D64E14" w:rsidRPr="00B408BA" w:rsidRDefault="00D64E14" w:rsidP="00EF3CAC">
            <w:pPr>
              <w:spacing w:after="0" w:line="360" w:lineRule="auto"/>
              <w:jc w:val="both"/>
              <w:rPr>
                <w:lang w:eastAsia="es-MX"/>
              </w:rPr>
            </w:pPr>
            <w:r w:rsidRPr="00B408BA">
              <w:rPr>
                <w:lang w:eastAsia="es-MX"/>
              </w:rPr>
              <w:t>El sistema facilita el reconocimiento de las operaciones de ingresos, gasto, activo, pasivo y patrimoniales.</w:t>
            </w:r>
          </w:p>
          <w:p w14:paraId="4FD5782A" w14:textId="77777777" w:rsidR="00D64E14" w:rsidRPr="00B408BA" w:rsidRDefault="00D64E14" w:rsidP="00EF3CAC">
            <w:pPr>
              <w:spacing w:after="0"/>
              <w:jc w:val="both"/>
              <w:rPr>
                <w:lang w:eastAsia="es-MX"/>
              </w:rPr>
            </w:pPr>
          </w:p>
          <w:p w14:paraId="4B6FCDCE" w14:textId="77777777" w:rsidR="00D64E14" w:rsidRPr="00B408BA" w:rsidRDefault="00D64E14" w:rsidP="00EF3CAC">
            <w:pPr>
              <w:spacing w:after="0" w:line="360" w:lineRule="auto"/>
              <w:jc w:val="both"/>
              <w:rPr>
                <w:lang w:eastAsia="es-MX"/>
              </w:rPr>
            </w:pPr>
            <w:r w:rsidRPr="00B408BA">
              <w:rPr>
                <w:lang w:eastAsia="es-MX"/>
              </w:rPr>
              <w:t>Los estados financieros adjuntos de la entidad se prepararon de conformidad con las siguientes disposiciones normativas que le son aplicables en su carácter de Ayuntamiento del Municipio.</w:t>
            </w:r>
          </w:p>
          <w:p w14:paraId="1B373CEB" w14:textId="77777777" w:rsidR="00D64E14" w:rsidRPr="00B408BA" w:rsidRDefault="00D64E14" w:rsidP="00EF3CAC">
            <w:pPr>
              <w:spacing w:after="0"/>
              <w:jc w:val="both"/>
              <w:rPr>
                <w:lang w:eastAsia="es-MX"/>
              </w:rPr>
            </w:pPr>
          </w:p>
          <w:p w14:paraId="3128B81F" w14:textId="77777777" w:rsidR="00D64E14" w:rsidRPr="00B408BA" w:rsidRDefault="00D64E14" w:rsidP="00EF3CAC">
            <w:pPr>
              <w:spacing w:after="0" w:line="360" w:lineRule="auto"/>
              <w:jc w:val="both"/>
              <w:rPr>
                <w:lang w:eastAsia="es-MX"/>
              </w:rPr>
            </w:pPr>
            <w:r w:rsidRPr="00B408BA">
              <w:rPr>
                <w:lang w:eastAsia="es-MX"/>
              </w:rPr>
              <w:t>Se llevan a cabo las disposiciones vigentes de la Ley General de Contabilidad Gubernamental (LGCG).</w:t>
            </w:r>
          </w:p>
          <w:p w14:paraId="022C524F" w14:textId="77777777" w:rsidR="00D64E14" w:rsidRPr="00B408BA" w:rsidRDefault="00D64E14" w:rsidP="00EF3CAC">
            <w:pPr>
              <w:spacing w:after="0"/>
              <w:jc w:val="both"/>
              <w:rPr>
                <w:lang w:eastAsia="es-MX"/>
              </w:rPr>
            </w:pPr>
          </w:p>
          <w:p w14:paraId="795E5A64" w14:textId="77777777" w:rsidR="00D64E14" w:rsidRPr="00B408BA" w:rsidRDefault="00D64E14" w:rsidP="00EF3CAC">
            <w:pPr>
              <w:spacing w:after="0" w:line="360" w:lineRule="auto"/>
              <w:jc w:val="both"/>
              <w:rPr>
                <w:i/>
                <w:lang w:eastAsia="es-MX"/>
              </w:rPr>
            </w:pPr>
            <w:r w:rsidRPr="00B408BA">
              <w:rPr>
                <w:lang w:eastAsia="es-MX"/>
              </w:rPr>
              <w:t xml:space="preserve">Lo anterior para lograr cortes parciales en tiempo real de conformidad al Artículo 16 de la Ley General de Contabilidad Gubernamental (LGCG) que a la letra dice </w:t>
            </w:r>
            <w:r w:rsidRPr="00B408BA">
              <w:rPr>
                <w:bCs/>
                <w:i/>
                <w:lang w:eastAsia="es-MX"/>
              </w:rPr>
              <w:t>“</w:t>
            </w:r>
            <w:r w:rsidRPr="00B408BA">
              <w:rPr>
                <w:i/>
                <w:lang w:eastAsia="es-MX"/>
              </w:rPr>
              <w:t xml:space="preserve">El sistema, al que deberán </w:t>
            </w:r>
            <w:r w:rsidRPr="00B408BA">
              <w:rPr>
                <w:i/>
                <w:lang w:eastAsia="es-MX"/>
              </w:rPr>
              <w:lastRenderedPageBreak/>
              <w:t>sujetarse los entes públicos, registrará de manera armónica, delimitada y específica las operaciones presupuestarias y contables derivadas de la gestión pública, así como otros flujos económicos. Asimismo, generará estados financieros, confiables, oportunos, comprensibles, periódicos y comparables, los cuales serán expresados en términos monetarios”.</w:t>
            </w:r>
          </w:p>
          <w:p w14:paraId="33BEA94A" w14:textId="77777777" w:rsidR="00D64E14" w:rsidRPr="00B408BA" w:rsidRDefault="00D64E14" w:rsidP="00D64E14">
            <w:pPr>
              <w:pStyle w:val="Prrafodelista"/>
              <w:numPr>
                <w:ilvl w:val="0"/>
                <w:numId w:val="6"/>
              </w:numPr>
              <w:spacing w:after="0"/>
              <w:jc w:val="both"/>
              <w:rPr>
                <w:rStyle w:val="nfasissutil"/>
              </w:rPr>
            </w:pPr>
            <w:r w:rsidRPr="00B408BA">
              <w:rPr>
                <w:rStyle w:val="nfasissutil"/>
              </w:rPr>
              <w:t>Políticas de contabilidad significativas</w:t>
            </w:r>
          </w:p>
          <w:p w14:paraId="34714923" w14:textId="77777777" w:rsidR="00D64E14" w:rsidRPr="00B408BA" w:rsidRDefault="00D64E14" w:rsidP="00EF3CAC">
            <w:pPr>
              <w:spacing w:after="0" w:line="360" w:lineRule="auto"/>
              <w:jc w:val="both"/>
              <w:rPr>
                <w:lang w:eastAsia="es-MX"/>
              </w:rPr>
            </w:pPr>
            <w:r w:rsidRPr="00B408BA">
              <w:rPr>
                <w:lang w:eastAsia="es-MX"/>
              </w:rPr>
              <w:t>La LGCG requiere el uso de ciertas estimaciones contables en la preparación de estados financieros; asimismo, se requiere el ejercicio de un juicio de parte de la administración en el proceso de definición de las políticas de contabilidad de la Entidad.</w:t>
            </w:r>
          </w:p>
          <w:p w14:paraId="761C8FFA" w14:textId="77777777" w:rsidR="0027779E" w:rsidRDefault="0027779E" w:rsidP="00EF3CAC">
            <w:pPr>
              <w:spacing w:after="0" w:line="360" w:lineRule="auto"/>
              <w:jc w:val="both"/>
              <w:rPr>
                <w:lang w:eastAsia="es-MX"/>
              </w:rPr>
            </w:pPr>
          </w:p>
          <w:p w14:paraId="10C2CE3A" w14:textId="0A2CDCBA" w:rsidR="00D64E14" w:rsidRPr="00B408BA" w:rsidRDefault="00D64E14" w:rsidP="00EF3CAC">
            <w:pPr>
              <w:spacing w:after="0" w:line="360" w:lineRule="auto"/>
              <w:jc w:val="both"/>
              <w:rPr>
                <w:lang w:eastAsia="es-MX"/>
              </w:rPr>
            </w:pPr>
            <w:r w:rsidRPr="00B408BA">
              <w:rPr>
                <w:lang w:eastAsia="es-MX"/>
              </w:rPr>
              <w:t>A continuación, se resumen las políticas de contabilidad más significativas, las cuales han sido aplicadas consistentemente en el periodo que se presenta, a menos que se especifique lo contrario.</w:t>
            </w:r>
          </w:p>
          <w:p w14:paraId="1C6E439D" w14:textId="77777777" w:rsidR="00D64E14" w:rsidRPr="00B408BA" w:rsidRDefault="00D64E14" w:rsidP="00EF3CAC">
            <w:pPr>
              <w:spacing w:after="0"/>
              <w:jc w:val="both"/>
              <w:rPr>
                <w:lang w:eastAsia="es-MX"/>
              </w:rPr>
            </w:pPr>
          </w:p>
          <w:p w14:paraId="4D24AEE2" w14:textId="7C1DA495" w:rsidR="00D64E14" w:rsidRPr="00B408BA" w:rsidRDefault="00D64E14" w:rsidP="00EF3CAC">
            <w:pPr>
              <w:spacing w:after="0" w:line="360" w:lineRule="auto"/>
              <w:jc w:val="both"/>
              <w:rPr>
                <w:lang w:eastAsia="es-MX"/>
              </w:rPr>
            </w:pPr>
            <w:r w:rsidRPr="00B408BA">
              <w:rPr>
                <w:lang w:eastAsia="es-MX"/>
              </w:rPr>
              <w:t xml:space="preserve">Los Estados Financieros </w:t>
            </w:r>
            <w:r w:rsidR="00D57A8F">
              <w:rPr>
                <w:lang w:eastAsia="es-MX"/>
              </w:rPr>
              <w:t xml:space="preserve">31 de </w:t>
            </w:r>
            <w:r w:rsidR="0027779E">
              <w:rPr>
                <w:lang w:eastAsia="es-MX"/>
              </w:rPr>
              <w:t>diciembre</w:t>
            </w:r>
            <w:r w:rsidR="00D57A8F">
              <w:rPr>
                <w:lang w:eastAsia="es-MX"/>
              </w:rPr>
              <w:t xml:space="preserve"> del 2025</w:t>
            </w:r>
            <w:r w:rsidRPr="00B408BA">
              <w:rPr>
                <w:lang w:eastAsia="es-MX"/>
              </w:rPr>
              <w:t>, están representados en pesos históricos y no reconocen los efectos de la inflación, en tanto el CONAC no emita lo conducente.</w:t>
            </w:r>
          </w:p>
          <w:p w14:paraId="1355ED92" w14:textId="77777777" w:rsidR="00D64E14" w:rsidRPr="00B408BA" w:rsidRDefault="00D64E14" w:rsidP="00EF3CAC">
            <w:pPr>
              <w:spacing w:after="0"/>
              <w:jc w:val="both"/>
              <w:rPr>
                <w:lang w:eastAsia="es-MX"/>
              </w:rPr>
            </w:pPr>
          </w:p>
          <w:p w14:paraId="6287A8DE" w14:textId="77777777" w:rsidR="00D64E14" w:rsidRPr="00B408BA" w:rsidRDefault="00D64E14" w:rsidP="00EF3CAC">
            <w:pPr>
              <w:spacing w:after="0" w:line="360" w:lineRule="auto"/>
              <w:jc w:val="both"/>
              <w:rPr>
                <w:lang w:eastAsia="es-MX"/>
              </w:rPr>
            </w:pPr>
            <w:r w:rsidRPr="00B408BA">
              <w:rPr>
                <w:lang w:eastAsia="es-MX"/>
              </w:rPr>
              <w:t>La información se elabora conforme a las normas, criterios y principios técnicos emitidos por el CONAC y las disposiciones legales aplicables, obedeciendo a las mejores prácticas contables.</w:t>
            </w:r>
          </w:p>
          <w:p w14:paraId="09663AA6" w14:textId="77777777" w:rsidR="00D64E14" w:rsidRPr="00B408BA" w:rsidRDefault="00D64E14" w:rsidP="00EF3CAC">
            <w:pPr>
              <w:spacing w:after="0"/>
              <w:jc w:val="both"/>
              <w:rPr>
                <w:lang w:eastAsia="es-MX"/>
              </w:rPr>
            </w:pPr>
          </w:p>
          <w:p w14:paraId="31E4984B" w14:textId="77777777" w:rsidR="00D64E14" w:rsidRPr="00B408BA" w:rsidRDefault="00D64E14" w:rsidP="00EF3CAC">
            <w:pPr>
              <w:spacing w:after="0" w:line="360" w:lineRule="auto"/>
              <w:jc w:val="both"/>
              <w:rPr>
                <w:lang w:eastAsia="es-MX"/>
              </w:rPr>
            </w:pPr>
            <w:r w:rsidRPr="00B408BA">
              <w:rPr>
                <w:lang w:eastAsia="es-MX"/>
              </w:rPr>
              <w:t>Para la clasificación de las operaciones presupuestarias y contables se alinea el Clasificador por Objeto del gasto, Clasificador por Tipo de Gasto y Clasificador por Rubro de Ingresos emitidos por el CONAC.</w:t>
            </w:r>
          </w:p>
          <w:p w14:paraId="29B3529C" w14:textId="77777777" w:rsidR="00D64E14" w:rsidRPr="00B408BA" w:rsidRDefault="00D64E14" w:rsidP="00EF3CAC">
            <w:pPr>
              <w:spacing w:after="0"/>
              <w:jc w:val="both"/>
              <w:rPr>
                <w:lang w:eastAsia="es-MX"/>
              </w:rPr>
            </w:pPr>
          </w:p>
          <w:p w14:paraId="5F74EA96" w14:textId="77777777" w:rsidR="00D64E14" w:rsidRPr="00B408BA" w:rsidRDefault="00D64E14" w:rsidP="00EF3CAC">
            <w:pPr>
              <w:spacing w:after="0" w:line="360" w:lineRule="auto"/>
              <w:jc w:val="both"/>
              <w:rPr>
                <w:lang w:eastAsia="es-MX"/>
              </w:rPr>
            </w:pPr>
            <w:r w:rsidRPr="00B408BA">
              <w:rPr>
                <w:lang w:eastAsia="es-MX"/>
              </w:rPr>
              <w:t>Los bienes inmuebles, infraestructura y bienes muebles se expresan a su costo histórico.</w:t>
            </w:r>
          </w:p>
          <w:p w14:paraId="23585403" w14:textId="77777777" w:rsidR="00D64E14" w:rsidRPr="00B408BA" w:rsidRDefault="00D64E14" w:rsidP="00EF3CAC">
            <w:pPr>
              <w:spacing w:after="0" w:line="360" w:lineRule="auto"/>
              <w:jc w:val="both"/>
              <w:rPr>
                <w:lang w:eastAsia="es-MX"/>
              </w:rPr>
            </w:pPr>
            <w:r w:rsidRPr="00B408BA">
              <w:rPr>
                <w:lang w:eastAsia="es-MX"/>
              </w:rPr>
              <w:t>El régimen fiscal aplicable al Municipio de Zapopan, Jalisco, es el correspondiente Título III Del Régimen de las Persona Morales con Fines No Lucrativos según al artículo 79 de la Ley del Impuesto Sobre la Renta, por lo tanto, El Municipio no es sujeto del Impuesto Sobre la Renta (ISR), así como del pago de la Participación de los Trabajadores en las Utilidades (PTU) por ser Gobierno Municipal. Por no ser sujeto al ISR, la Entidad no calcula impuestos diferidos como lo requiere la NIF D-4 “impuestos a la utilidad” emitida por el CINIF.</w:t>
            </w:r>
          </w:p>
          <w:p w14:paraId="0E9BB090" w14:textId="77777777" w:rsidR="00D64E14" w:rsidRPr="00B408BA" w:rsidRDefault="00D64E14" w:rsidP="00EF3CAC">
            <w:pPr>
              <w:spacing w:after="0"/>
              <w:jc w:val="both"/>
              <w:rPr>
                <w:lang w:eastAsia="es-MX"/>
              </w:rPr>
            </w:pPr>
          </w:p>
          <w:p w14:paraId="05D14401" w14:textId="77777777" w:rsidR="00D64E14" w:rsidRPr="00B408BA" w:rsidRDefault="00D64E14" w:rsidP="00EF3CAC">
            <w:pPr>
              <w:spacing w:after="0" w:line="360" w:lineRule="auto"/>
              <w:jc w:val="both"/>
              <w:rPr>
                <w:lang w:eastAsia="es-MX"/>
              </w:rPr>
            </w:pPr>
            <w:r w:rsidRPr="00B408BA">
              <w:rPr>
                <w:lang w:eastAsia="es-MX"/>
              </w:rPr>
              <w:t>Estas Leyes establecen que estas entidades sólo tendrán la obligación de retener y enterar el impuesto y exigir la documentación que reúna los requisitos fiscales cuando hagan pagos a terceros y estén obligadas a ello en términos de la Ley del ISR.</w:t>
            </w:r>
          </w:p>
          <w:p w14:paraId="482A9CF9" w14:textId="77777777" w:rsidR="00D64E14" w:rsidRPr="00B408BA" w:rsidRDefault="00D64E14" w:rsidP="00EF3CAC">
            <w:pPr>
              <w:spacing w:after="0"/>
              <w:jc w:val="both"/>
              <w:rPr>
                <w:lang w:eastAsia="es-MX"/>
              </w:rPr>
            </w:pPr>
          </w:p>
          <w:p w14:paraId="25D4E8A8" w14:textId="77777777" w:rsidR="00D64E14" w:rsidRPr="00B408BA" w:rsidRDefault="00D64E14" w:rsidP="00D64E14">
            <w:pPr>
              <w:pStyle w:val="Prrafodelista"/>
              <w:numPr>
                <w:ilvl w:val="0"/>
                <w:numId w:val="6"/>
              </w:numPr>
              <w:spacing w:after="0"/>
              <w:jc w:val="both"/>
              <w:rPr>
                <w:rStyle w:val="nfasissutil"/>
              </w:rPr>
            </w:pPr>
            <w:r w:rsidRPr="00B408BA">
              <w:rPr>
                <w:rStyle w:val="nfasissutil"/>
              </w:rPr>
              <w:t>Posición en Moneda Extranjera y Protección por Riesgo Cambiario:</w:t>
            </w:r>
          </w:p>
          <w:p w14:paraId="73EE3398" w14:textId="77777777" w:rsidR="00D64E14" w:rsidRPr="00B408BA" w:rsidRDefault="00D64E14" w:rsidP="00EF3CAC">
            <w:pPr>
              <w:spacing w:after="0" w:line="360" w:lineRule="auto"/>
              <w:jc w:val="both"/>
              <w:rPr>
                <w:bCs/>
                <w:lang w:eastAsia="es-MX"/>
              </w:rPr>
            </w:pPr>
            <w:r w:rsidRPr="00B408BA">
              <w:rPr>
                <w:bCs/>
                <w:lang w:eastAsia="es-MX"/>
              </w:rPr>
              <w:t>NO APLICA</w:t>
            </w:r>
          </w:p>
          <w:p w14:paraId="143E41C3" w14:textId="77777777" w:rsidR="00D64E14" w:rsidRPr="00B408BA" w:rsidRDefault="00D64E14" w:rsidP="00D64E14">
            <w:pPr>
              <w:pStyle w:val="Prrafodelista"/>
              <w:numPr>
                <w:ilvl w:val="0"/>
                <w:numId w:val="6"/>
              </w:numPr>
              <w:spacing w:after="0"/>
              <w:jc w:val="both"/>
              <w:rPr>
                <w:rStyle w:val="nfasissutil"/>
              </w:rPr>
            </w:pPr>
            <w:r w:rsidRPr="00B408BA">
              <w:rPr>
                <w:rStyle w:val="nfasissutil"/>
              </w:rPr>
              <w:t>Reporte Analítico del Activo:</w:t>
            </w:r>
          </w:p>
          <w:p w14:paraId="336D8CEA" w14:textId="77777777" w:rsidR="00D64E14" w:rsidRPr="00B408BA" w:rsidRDefault="00D64E14" w:rsidP="00EF3CAC">
            <w:pPr>
              <w:pStyle w:val="Prrafodelista"/>
              <w:spacing w:after="0"/>
              <w:ind w:left="360"/>
              <w:jc w:val="both"/>
              <w:rPr>
                <w:rStyle w:val="nfasissutil"/>
              </w:rPr>
            </w:pPr>
          </w:p>
          <w:p w14:paraId="0CC3B3E5" w14:textId="77777777" w:rsidR="00D64E14" w:rsidRPr="00B408BA" w:rsidRDefault="00D64E14" w:rsidP="00EF3CAC">
            <w:pPr>
              <w:spacing w:after="0" w:line="360" w:lineRule="auto"/>
              <w:jc w:val="both"/>
              <w:rPr>
                <w:lang w:eastAsia="es-MX"/>
              </w:rPr>
            </w:pPr>
            <w:r w:rsidRPr="00B408BA">
              <w:rPr>
                <w:lang w:eastAsia="es-MX"/>
              </w:rPr>
              <w:t>El monto de la depreciación como la amortización se calculan dentro del municipio considerando el costo de adquisición del activo depreciable o amortizable, menos su valor de desecho, entre los años correspondientes a su vida útil o su vida económica.</w:t>
            </w:r>
          </w:p>
          <w:p w14:paraId="02AA3BEB" w14:textId="77777777" w:rsidR="00D64E14" w:rsidRPr="00B408BA" w:rsidRDefault="00D64E14" w:rsidP="00EF3CAC">
            <w:pPr>
              <w:spacing w:after="0" w:line="360" w:lineRule="auto"/>
              <w:jc w:val="both"/>
              <w:rPr>
                <w:lang w:eastAsia="es-MX"/>
              </w:rPr>
            </w:pPr>
          </w:p>
          <w:p w14:paraId="57C9628A" w14:textId="77777777" w:rsidR="00D64E14" w:rsidRPr="00B408BA" w:rsidRDefault="00D64E14" w:rsidP="00EF3CAC">
            <w:pPr>
              <w:spacing w:after="0" w:line="360" w:lineRule="auto"/>
              <w:jc w:val="both"/>
              <w:rPr>
                <w:lang w:eastAsia="es-MX"/>
              </w:rPr>
            </w:pPr>
            <w:r w:rsidRPr="00B408BA">
              <w:rPr>
                <w:lang w:eastAsia="es-MX"/>
              </w:rPr>
              <w:t>En el presente ejercicio no se capitalizaron gastos financieros o de investigación y desarrollo.</w:t>
            </w:r>
          </w:p>
          <w:p w14:paraId="63D61C81" w14:textId="77777777" w:rsidR="00D64E14" w:rsidRPr="00B408BA" w:rsidRDefault="00D64E14" w:rsidP="00EF3CAC">
            <w:pPr>
              <w:spacing w:after="0"/>
              <w:jc w:val="both"/>
              <w:rPr>
                <w:lang w:eastAsia="es-MX"/>
              </w:rPr>
            </w:pPr>
          </w:p>
          <w:p w14:paraId="28105F93" w14:textId="77777777" w:rsidR="00D64E14" w:rsidRPr="00B408BA" w:rsidRDefault="00D64E14" w:rsidP="00EF3CAC">
            <w:pPr>
              <w:spacing w:after="0" w:line="360" w:lineRule="auto"/>
              <w:jc w:val="both"/>
              <w:rPr>
                <w:lang w:eastAsia="es-MX"/>
              </w:rPr>
            </w:pPr>
            <w:r w:rsidRPr="00B408BA">
              <w:rPr>
                <w:lang w:eastAsia="es-MX"/>
              </w:rPr>
              <w:t>No se cuenta con inversiones financieras de las cuales se deriven riesgos por tipo de cambio y tasas de interés.</w:t>
            </w:r>
          </w:p>
          <w:p w14:paraId="172F54A9" w14:textId="77777777" w:rsidR="00D64E14" w:rsidRPr="00B408BA" w:rsidRDefault="00D64E14" w:rsidP="00EF3CAC">
            <w:pPr>
              <w:spacing w:after="0"/>
              <w:jc w:val="both"/>
              <w:rPr>
                <w:lang w:eastAsia="es-MX"/>
              </w:rPr>
            </w:pPr>
          </w:p>
          <w:p w14:paraId="0DCF8B19" w14:textId="77777777" w:rsidR="00D64E14" w:rsidRPr="00B408BA" w:rsidRDefault="00D64E14" w:rsidP="00EF3CAC">
            <w:pPr>
              <w:spacing w:after="0" w:line="360" w:lineRule="auto"/>
              <w:jc w:val="both"/>
              <w:rPr>
                <w:lang w:eastAsia="es-MX"/>
              </w:rPr>
            </w:pPr>
            <w:r w:rsidRPr="00B408BA">
              <w:rPr>
                <w:lang w:eastAsia="es-MX"/>
              </w:rPr>
              <w:t>No se tiene conocimiento de circunstancias que afecten el activo, tales como bienes en garantía señalados en embargos, litigios, títulos de inversiones entregados en garantía, baja significativa de valor de inversiones financieras.</w:t>
            </w:r>
          </w:p>
          <w:p w14:paraId="6E17FE4B" w14:textId="77777777" w:rsidR="00D64E14" w:rsidRPr="00B408BA" w:rsidRDefault="00D64E14" w:rsidP="00EF3CAC">
            <w:pPr>
              <w:spacing w:after="0"/>
              <w:jc w:val="both"/>
              <w:rPr>
                <w:lang w:eastAsia="es-MX"/>
              </w:rPr>
            </w:pPr>
          </w:p>
          <w:p w14:paraId="298376A3" w14:textId="77777777" w:rsidR="00D64E14" w:rsidRPr="00B408BA" w:rsidRDefault="00D64E14" w:rsidP="00EF3CAC">
            <w:pPr>
              <w:spacing w:after="0" w:line="360" w:lineRule="auto"/>
              <w:jc w:val="both"/>
              <w:rPr>
                <w:lang w:eastAsia="es-MX"/>
              </w:rPr>
            </w:pPr>
            <w:r w:rsidRPr="00B408BA">
              <w:rPr>
                <w:lang w:eastAsia="es-MX"/>
              </w:rPr>
              <w:t xml:space="preserve">Se aplican las políticas establecidas para la administración de activos se utilicen de manera más efectivas. </w:t>
            </w:r>
          </w:p>
          <w:p w14:paraId="336B1A91" w14:textId="77777777" w:rsidR="00D64E14" w:rsidRPr="00B408BA" w:rsidRDefault="00D64E14" w:rsidP="00D64E14">
            <w:pPr>
              <w:pStyle w:val="Prrafodelista"/>
              <w:numPr>
                <w:ilvl w:val="0"/>
                <w:numId w:val="6"/>
              </w:numPr>
              <w:spacing w:after="0"/>
              <w:jc w:val="both"/>
              <w:rPr>
                <w:rStyle w:val="nfasissutil"/>
              </w:rPr>
            </w:pPr>
            <w:r w:rsidRPr="00B408BA">
              <w:rPr>
                <w:rStyle w:val="nfasissutil"/>
              </w:rPr>
              <w:t>Fideicomisos, Mandatos y Análogos:</w:t>
            </w:r>
          </w:p>
          <w:p w14:paraId="2EE6EDDD" w14:textId="77777777" w:rsidR="00D64E14" w:rsidRPr="00B408BA" w:rsidRDefault="00D64E14" w:rsidP="00EF3CAC">
            <w:pPr>
              <w:pStyle w:val="Prrafodelista"/>
              <w:spacing w:after="0"/>
              <w:ind w:left="360"/>
              <w:jc w:val="both"/>
              <w:rPr>
                <w:rStyle w:val="nfasissutil"/>
              </w:rPr>
            </w:pPr>
          </w:p>
          <w:p w14:paraId="6C40122C" w14:textId="77777777" w:rsidR="00D64E14" w:rsidRPr="00B408BA" w:rsidRDefault="00D64E14" w:rsidP="00EF3CAC">
            <w:pPr>
              <w:spacing w:after="0" w:line="360" w:lineRule="auto"/>
              <w:jc w:val="both"/>
              <w:rPr>
                <w:lang w:eastAsia="es-MX"/>
              </w:rPr>
            </w:pPr>
            <w:r w:rsidRPr="00B408BA">
              <w:rPr>
                <w:bCs/>
                <w:lang w:eastAsia="es-MX"/>
              </w:rPr>
              <w:t>“</w:t>
            </w:r>
            <w:r w:rsidRPr="00B408BA">
              <w:rPr>
                <w:lang w:eastAsia="es-MX"/>
              </w:rPr>
              <w:t>El Municipio de Zapopan cuenta con tres Contratos de Fideicomisos, el Fideicomiso Maestro 106807-3 celebrado con el Banco Nacional de México, S.A de Fomento Económico para el Ayuntamiento de Zapopan, este Fideicomiso de Administración  e Inversión es Destinado a otorgar apoyos y estímulos económicos a personas con proyectos productivos, al desarrollo integral de los microempresarios, así como a la micro, pequeña y mediana empresa ubicados en el Municipio de Zapopan con la Finalidad, de fomentar la creación permanencia y consolidación de la misma.</w:t>
            </w:r>
          </w:p>
          <w:p w14:paraId="7106087C" w14:textId="77777777" w:rsidR="00D64E14" w:rsidRPr="00B408BA" w:rsidRDefault="00D64E14" w:rsidP="00EF3CAC">
            <w:pPr>
              <w:spacing w:after="0"/>
              <w:jc w:val="both"/>
              <w:rPr>
                <w:lang w:eastAsia="es-MX"/>
              </w:rPr>
            </w:pPr>
          </w:p>
          <w:p w14:paraId="0F806979" w14:textId="77777777" w:rsidR="00D64E14" w:rsidRPr="00B408BA" w:rsidRDefault="00D64E14" w:rsidP="00EF3CAC">
            <w:pPr>
              <w:spacing w:after="0" w:line="360" w:lineRule="auto"/>
              <w:jc w:val="both"/>
              <w:rPr>
                <w:lang w:eastAsia="es-MX"/>
              </w:rPr>
            </w:pPr>
            <w:r w:rsidRPr="00B408BA">
              <w:rPr>
                <w:lang w:eastAsia="es-MX"/>
              </w:rPr>
              <w:t xml:space="preserve">El Fideicomiso F/000111-(FID00111) Fideicomiso de Garantía y Administración y Fuente de Pago con Santander Actualmente </w:t>
            </w:r>
            <w:proofErr w:type="spellStart"/>
            <w:r w:rsidRPr="00B408BA">
              <w:rPr>
                <w:lang w:eastAsia="es-MX"/>
              </w:rPr>
              <w:t>fusionante</w:t>
            </w:r>
            <w:proofErr w:type="spellEnd"/>
            <w:r w:rsidRPr="00B408BA">
              <w:rPr>
                <w:lang w:eastAsia="es-MX"/>
              </w:rPr>
              <w:t xml:space="preserve"> del Banco CIBanco SA Institución de Banca Múltiple, en este fideicomiso se reciben participaciones federales que por derecho corresponden al Ayuntamiento, de cuyo monto mensual se descuentan los pagos de capital a interés por créditos contratados con los bancos, así como los honorarios fiduciarios”.</w:t>
            </w:r>
          </w:p>
          <w:p w14:paraId="4C5AF423" w14:textId="77777777" w:rsidR="00D64E14" w:rsidRPr="00B408BA" w:rsidRDefault="00D64E14" w:rsidP="00EF3CAC">
            <w:pPr>
              <w:spacing w:after="0" w:line="360" w:lineRule="auto"/>
              <w:jc w:val="both"/>
              <w:rPr>
                <w:lang w:eastAsia="es-MX"/>
              </w:rPr>
            </w:pPr>
          </w:p>
          <w:p w14:paraId="5854D0DC" w14:textId="77777777" w:rsidR="00D64E14" w:rsidRPr="00B408BA" w:rsidRDefault="00D64E14" w:rsidP="00EF3CAC">
            <w:pPr>
              <w:spacing w:after="0" w:line="360" w:lineRule="auto"/>
              <w:jc w:val="both"/>
              <w:rPr>
                <w:lang w:eastAsia="es-MX"/>
              </w:rPr>
            </w:pPr>
            <w:r w:rsidRPr="00B408BA">
              <w:rPr>
                <w:lang w:eastAsia="es-MX"/>
              </w:rPr>
              <w:t>El Fideicomiso F/0016 Fideicomiso de Institución de Banca Múltiple, Monex Grupo Financiero, Fideicomiso Irrevocable de Administración y fuente de pago identificado con el Número F/3087, el Fideicomiso Maestro Municipal, como mecanismo de distribución total de los ingresos derivados del Fondo General de Participaciones y el Fondo de Fomento Municipal o cualquier otro fondo, y/o derechos y/o ingresos provenientes de la Federación.</w:t>
            </w:r>
          </w:p>
          <w:p w14:paraId="48DD6236" w14:textId="77777777" w:rsidR="00D64E14" w:rsidRPr="00B408BA" w:rsidRDefault="00D64E14" w:rsidP="00EF3CAC">
            <w:pPr>
              <w:spacing w:after="0"/>
              <w:jc w:val="both"/>
              <w:rPr>
                <w:lang w:eastAsia="es-MX"/>
              </w:rPr>
            </w:pPr>
          </w:p>
          <w:p w14:paraId="390E7FFC" w14:textId="77777777" w:rsidR="00D64E14" w:rsidRPr="00B408BA" w:rsidRDefault="00D64E14" w:rsidP="00D64E14">
            <w:pPr>
              <w:pStyle w:val="Prrafodelista"/>
              <w:numPr>
                <w:ilvl w:val="0"/>
                <w:numId w:val="6"/>
              </w:numPr>
              <w:spacing w:after="0"/>
              <w:jc w:val="both"/>
              <w:rPr>
                <w:rStyle w:val="nfasissutil"/>
              </w:rPr>
            </w:pPr>
            <w:r w:rsidRPr="00B408BA">
              <w:rPr>
                <w:rStyle w:val="nfasissutil"/>
              </w:rPr>
              <w:t>Reporte de Recaudación:</w:t>
            </w:r>
          </w:p>
          <w:tbl>
            <w:tblPr>
              <w:tblpPr w:leftFromText="141" w:rightFromText="141" w:vertAnchor="text" w:horzAnchor="margin" w:tblpXSpec="center" w:tblpY="279"/>
              <w:tblOverlap w:val="never"/>
              <w:tblW w:w="86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9"/>
              <w:gridCol w:w="2352"/>
              <w:gridCol w:w="2218"/>
            </w:tblGrid>
            <w:tr w:rsidR="00D64E14" w:rsidRPr="00B408BA" w14:paraId="3E944A0F" w14:textId="77777777" w:rsidTr="00EF3CAC">
              <w:trPr>
                <w:trHeight w:val="51"/>
              </w:trPr>
              <w:tc>
                <w:tcPr>
                  <w:tcW w:w="4069" w:type="dxa"/>
                  <w:tcBorders>
                    <w:top w:val="single" w:sz="6" w:space="0" w:color="auto"/>
                    <w:left w:val="single" w:sz="6" w:space="0" w:color="auto"/>
                    <w:bottom w:val="single" w:sz="6" w:space="0" w:color="auto"/>
                    <w:right w:val="single" w:sz="6" w:space="0" w:color="auto"/>
                  </w:tcBorders>
                  <w:vAlign w:val="center"/>
                </w:tcPr>
                <w:p w14:paraId="7C50A5DC" w14:textId="77777777" w:rsidR="00D64E14" w:rsidRPr="00B408BA" w:rsidRDefault="00D64E14" w:rsidP="00EF3CAC">
                  <w:pPr>
                    <w:spacing w:after="0"/>
                    <w:jc w:val="center"/>
                    <w:rPr>
                      <w:rStyle w:val="Textoennegrita"/>
                    </w:rPr>
                  </w:pPr>
                  <w:r w:rsidRPr="00B408BA">
                    <w:rPr>
                      <w:rStyle w:val="Textoennegrita"/>
                    </w:rPr>
                    <w:t>Concepto</w:t>
                  </w:r>
                </w:p>
              </w:tc>
              <w:tc>
                <w:tcPr>
                  <w:tcW w:w="2352" w:type="dxa"/>
                  <w:tcBorders>
                    <w:top w:val="single" w:sz="6" w:space="0" w:color="auto"/>
                    <w:left w:val="single" w:sz="6" w:space="0" w:color="auto"/>
                    <w:bottom w:val="single" w:sz="6" w:space="0" w:color="auto"/>
                    <w:right w:val="single" w:sz="6" w:space="0" w:color="auto"/>
                  </w:tcBorders>
                  <w:vAlign w:val="center"/>
                </w:tcPr>
                <w:p w14:paraId="3CF7EC6C" w14:textId="77777777" w:rsidR="00D64E14" w:rsidRPr="00B408BA" w:rsidRDefault="00D64E14" w:rsidP="00EF3CAC">
                  <w:pPr>
                    <w:spacing w:after="0"/>
                    <w:jc w:val="center"/>
                    <w:rPr>
                      <w:rStyle w:val="Textoennegrita"/>
                    </w:rPr>
                  </w:pPr>
                  <w:r w:rsidRPr="00B408BA">
                    <w:rPr>
                      <w:rStyle w:val="Textoennegrita"/>
                    </w:rPr>
                    <w:t>2025</w:t>
                  </w:r>
                </w:p>
              </w:tc>
              <w:tc>
                <w:tcPr>
                  <w:tcW w:w="2218" w:type="dxa"/>
                  <w:tcBorders>
                    <w:top w:val="single" w:sz="6" w:space="0" w:color="auto"/>
                    <w:left w:val="single" w:sz="6" w:space="0" w:color="auto"/>
                    <w:bottom w:val="single" w:sz="6" w:space="0" w:color="auto"/>
                    <w:right w:val="single" w:sz="6" w:space="0" w:color="auto"/>
                  </w:tcBorders>
                  <w:vAlign w:val="center"/>
                </w:tcPr>
                <w:p w14:paraId="0E35BCAF" w14:textId="77777777" w:rsidR="00D64E14" w:rsidRPr="00B408BA" w:rsidRDefault="00D64E14" w:rsidP="00EF3CAC">
                  <w:pPr>
                    <w:spacing w:after="0"/>
                    <w:jc w:val="center"/>
                    <w:rPr>
                      <w:rStyle w:val="Textoennegrita"/>
                    </w:rPr>
                  </w:pPr>
                  <w:r w:rsidRPr="00B408BA">
                    <w:rPr>
                      <w:rStyle w:val="Textoennegrita"/>
                    </w:rPr>
                    <w:t>2024</w:t>
                  </w:r>
                </w:p>
              </w:tc>
            </w:tr>
            <w:tr w:rsidR="00D64E14" w:rsidRPr="00B408BA" w14:paraId="1B0A1614" w14:textId="77777777" w:rsidTr="00EF3CAC">
              <w:trPr>
                <w:trHeight w:val="92"/>
              </w:trPr>
              <w:tc>
                <w:tcPr>
                  <w:tcW w:w="4069" w:type="dxa"/>
                  <w:tcBorders>
                    <w:top w:val="single" w:sz="6" w:space="0" w:color="auto"/>
                    <w:left w:val="single" w:sz="6" w:space="0" w:color="auto"/>
                    <w:bottom w:val="single" w:sz="6" w:space="0" w:color="auto"/>
                    <w:right w:val="single" w:sz="6" w:space="0" w:color="auto"/>
                  </w:tcBorders>
                  <w:vAlign w:val="center"/>
                </w:tcPr>
                <w:p w14:paraId="59E9FC09" w14:textId="77777777" w:rsidR="00D64E14" w:rsidRPr="00B408BA" w:rsidRDefault="00D64E14" w:rsidP="00EF3CAC">
                  <w:pPr>
                    <w:spacing w:after="0"/>
                    <w:jc w:val="both"/>
                    <w:rPr>
                      <w:lang w:eastAsia="es-MX"/>
                    </w:rPr>
                  </w:pPr>
                  <w:r w:rsidRPr="00B408BA">
                    <w:rPr>
                      <w:lang w:eastAsia="es-MX"/>
                    </w:rPr>
                    <w:t>Ingresos de la Gestión</w:t>
                  </w:r>
                </w:p>
              </w:tc>
              <w:tc>
                <w:tcPr>
                  <w:tcW w:w="2352" w:type="dxa"/>
                  <w:tcBorders>
                    <w:top w:val="single" w:sz="6" w:space="0" w:color="auto"/>
                    <w:left w:val="single" w:sz="6" w:space="0" w:color="auto"/>
                    <w:bottom w:val="single" w:sz="6" w:space="0" w:color="auto"/>
                    <w:right w:val="single" w:sz="6" w:space="0" w:color="auto"/>
                  </w:tcBorders>
                  <w:vAlign w:val="center"/>
                </w:tcPr>
                <w:p w14:paraId="0076D644" w14:textId="0613A8E4" w:rsidR="00D64E14" w:rsidRPr="00B408BA" w:rsidRDefault="00D64E14" w:rsidP="00EF3CAC">
                  <w:pPr>
                    <w:spacing w:after="0"/>
                    <w:jc w:val="both"/>
                    <w:rPr>
                      <w:bCs/>
                      <w:color w:val="000000"/>
                    </w:rPr>
                  </w:pPr>
                  <w:proofErr w:type="gramStart"/>
                  <w:r w:rsidRPr="00B408BA">
                    <w:rPr>
                      <w:bCs/>
                      <w:color w:val="000000"/>
                    </w:rPr>
                    <w:t xml:space="preserve">$ </w:t>
                  </w:r>
                  <w:r w:rsidR="00806DF0">
                    <w:rPr>
                      <w:bCs/>
                      <w:color w:val="000000"/>
                    </w:rPr>
                    <w:t xml:space="preserve"> </w:t>
                  </w:r>
                  <w:r w:rsidR="0027779E">
                    <w:rPr>
                      <w:bCs/>
                      <w:color w:val="000000"/>
                    </w:rPr>
                    <w:t>5,807,080,404.46</w:t>
                  </w:r>
                  <w:proofErr w:type="gramEnd"/>
                </w:p>
              </w:tc>
              <w:tc>
                <w:tcPr>
                  <w:tcW w:w="2218" w:type="dxa"/>
                  <w:tcBorders>
                    <w:top w:val="single" w:sz="6" w:space="0" w:color="auto"/>
                    <w:left w:val="single" w:sz="6" w:space="0" w:color="auto"/>
                    <w:bottom w:val="single" w:sz="6" w:space="0" w:color="auto"/>
                    <w:right w:val="single" w:sz="6" w:space="0" w:color="auto"/>
                  </w:tcBorders>
                  <w:vAlign w:val="center"/>
                </w:tcPr>
                <w:p w14:paraId="6A069EE1" w14:textId="77777777" w:rsidR="00D64E14" w:rsidRPr="00B408BA" w:rsidRDefault="00D64E14" w:rsidP="00EF3CAC">
                  <w:pPr>
                    <w:spacing w:after="0"/>
                    <w:jc w:val="both"/>
                    <w:rPr>
                      <w:bCs/>
                      <w:color w:val="000000"/>
                    </w:rPr>
                  </w:pPr>
                  <w:r w:rsidRPr="00B408BA">
                    <w:rPr>
                      <w:bCs/>
                      <w:color w:val="000000"/>
                    </w:rPr>
                    <w:t>$5,595,124,466.68</w:t>
                  </w:r>
                </w:p>
              </w:tc>
            </w:tr>
            <w:tr w:rsidR="00D64E14" w:rsidRPr="00B408BA" w14:paraId="54E9309A" w14:textId="77777777" w:rsidTr="00EF3CAC">
              <w:trPr>
                <w:trHeight w:val="762"/>
              </w:trPr>
              <w:tc>
                <w:tcPr>
                  <w:tcW w:w="4069" w:type="dxa"/>
                  <w:tcBorders>
                    <w:top w:val="single" w:sz="6" w:space="0" w:color="auto"/>
                    <w:left w:val="single" w:sz="6" w:space="0" w:color="auto"/>
                    <w:bottom w:val="single" w:sz="6" w:space="0" w:color="auto"/>
                    <w:right w:val="single" w:sz="6" w:space="0" w:color="auto"/>
                  </w:tcBorders>
                  <w:vAlign w:val="center"/>
                </w:tcPr>
                <w:p w14:paraId="6CFDB143" w14:textId="77777777" w:rsidR="00D64E14" w:rsidRPr="00B408BA" w:rsidRDefault="00D64E14" w:rsidP="00EF3CAC">
                  <w:pPr>
                    <w:spacing w:after="0"/>
                    <w:jc w:val="both"/>
                    <w:rPr>
                      <w:lang w:eastAsia="es-MX"/>
                    </w:rPr>
                  </w:pPr>
                  <w:r w:rsidRPr="00B408BA">
                    <w:rPr>
                      <w:lang w:eastAsia="es-MX"/>
                    </w:rPr>
                    <w:t>Participaciones, Aportaciones, Convenios, Incentivos Derivados de la Colaboración Fiscal, Fondos Distintos de Aportaciones, Transferencias, Asignaciones, Subsidios y Subvenciones, y Pensiones y Jubilaciones.</w:t>
                  </w:r>
                </w:p>
              </w:tc>
              <w:tc>
                <w:tcPr>
                  <w:tcW w:w="2352" w:type="dxa"/>
                  <w:tcBorders>
                    <w:top w:val="single" w:sz="6" w:space="0" w:color="auto"/>
                    <w:left w:val="single" w:sz="6" w:space="0" w:color="auto"/>
                    <w:bottom w:val="single" w:sz="6" w:space="0" w:color="auto"/>
                    <w:right w:val="single" w:sz="6" w:space="0" w:color="auto"/>
                  </w:tcBorders>
                  <w:vAlign w:val="center"/>
                </w:tcPr>
                <w:p w14:paraId="5B8659CA" w14:textId="041DCB7A" w:rsidR="00D64E14" w:rsidRPr="00B408BA" w:rsidRDefault="00D64E14" w:rsidP="00EF3CAC">
                  <w:pPr>
                    <w:spacing w:after="0"/>
                    <w:jc w:val="both"/>
                  </w:pPr>
                  <w:proofErr w:type="gramStart"/>
                  <w:r w:rsidRPr="00B408BA">
                    <w:t xml:space="preserve">$ </w:t>
                  </w:r>
                  <w:r w:rsidR="00806DF0">
                    <w:t xml:space="preserve"> </w:t>
                  </w:r>
                  <w:r w:rsidR="0027779E">
                    <w:t>6,626,315,077.36</w:t>
                  </w:r>
                  <w:proofErr w:type="gramEnd"/>
                </w:p>
              </w:tc>
              <w:tc>
                <w:tcPr>
                  <w:tcW w:w="2218" w:type="dxa"/>
                  <w:tcBorders>
                    <w:top w:val="single" w:sz="6" w:space="0" w:color="auto"/>
                    <w:left w:val="single" w:sz="6" w:space="0" w:color="auto"/>
                    <w:bottom w:val="single" w:sz="6" w:space="0" w:color="auto"/>
                    <w:right w:val="single" w:sz="6" w:space="0" w:color="auto"/>
                  </w:tcBorders>
                  <w:vAlign w:val="center"/>
                </w:tcPr>
                <w:p w14:paraId="4C2F7D5D" w14:textId="77777777" w:rsidR="00D64E14" w:rsidRPr="00B408BA" w:rsidRDefault="00D64E14" w:rsidP="00EF3CAC">
                  <w:pPr>
                    <w:spacing w:after="0"/>
                    <w:jc w:val="both"/>
                  </w:pPr>
                  <w:r w:rsidRPr="00B408BA">
                    <w:t>$6,017,833,323.34</w:t>
                  </w:r>
                </w:p>
              </w:tc>
            </w:tr>
            <w:tr w:rsidR="00D64E14" w:rsidRPr="00B408BA" w14:paraId="371E4C70" w14:textId="77777777" w:rsidTr="00EF3CAC">
              <w:trPr>
                <w:trHeight w:val="51"/>
              </w:trPr>
              <w:tc>
                <w:tcPr>
                  <w:tcW w:w="4069" w:type="dxa"/>
                  <w:tcBorders>
                    <w:top w:val="single" w:sz="6" w:space="0" w:color="auto"/>
                    <w:left w:val="single" w:sz="6" w:space="0" w:color="auto"/>
                    <w:bottom w:val="single" w:sz="6" w:space="0" w:color="auto"/>
                    <w:right w:val="single" w:sz="6" w:space="0" w:color="auto"/>
                  </w:tcBorders>
                  <w:vAlign w:val="center"/>
                </w:tcPr>
                <w:p w14:paraId="10FA594B" w14:textId="77777777" w:rsidR="00D64E14" w:rsidRPr="00B408BA" w:rsidRDefault="00D64E14" w:rsidP="00EF3CAC">
                  <w:pPr>
                    <w:spacing w:after="0"/>
                    <w:jc w:val="both"/>
                    <w:rPr>
                      <w:lang w:eastAsia="es-MX"/>
                    </w:rPr>
                  </w:pPr>
                  <w:r w:rsidRPr="00B408BA">
                    <w:rPr>
                      <w:lang w:eastAsia="es-MX"/>
                    </w:rPr>
                    <w:t>Otros Ingresos y Beneficios</w:t>
                  </w:r>
                </w:p>
              </w:tc>
              <w:tc>
                <w:tcPr>
                  <w:tcW w:w="2352" w:type="dxa"/>
                  <w:tcBorders>
                    <w:top w:val="single" w:sz="6" w:space="0" w:color="auto"/>
                    <w:left w:val="single" w:sz="6" w:space="0" w:color="auto"/>
                    <w:bottom w:val="single" w:sz="6" w:space="0" w:color="auto"/>
                    <w:right w:val="single" w:sz="6" w:space="0" w:color="auto"/>
                  </w:tcBorders>
                  <w:vAlign w:val="center"/>
                </w:tcPr>
                <w:p w14:paraId="6F404173" w14:textId="37E5C0AF" w:rsidR="00D64E14" w:rsidRPr="00B408BA" w:rsidRDefault="00D64E14" w:rsidP="00EF3CAC">
                  <w:pPr>
                    <w:spacing w:after="0"/>
                    <w:jc w:val="both"/>
                  </w:pPr>
                  <w:proofErr w:type="gramStart"/>
                  <w:r w:rsidRPr="00B408BA">
                    <w:t xml:space="preserve">$ </w:t>
                  </w:r>
                  <w:r w:rsidR="00806DF0">
                    <w:t xml:space="preserve"> </w:t>
                  </w:r>
                  <w:r w:rsidR="0027779E">
                    <w:t>6,877,138,658.88</w:t>
                  </w:r>
                  <w:proofErr w:type="gramEnd"/>
                </w:p>
              </w:tc>
              <w:tc>
                <w:tcPr>
                  <w:tcW w:w="2218" w:type="dxa"/>
                  <w:tcBorders>
                    <w:top w:val="single" w:sz="6" w:space="0" w:color="auto"/>
                    <w:left w:val="single" w:sz="6" w:space="0" w:color="auto"/>
                    <w:bottom w:val="single" w:sz="6" w:space="0" w:color="auto"/>
                    <w:right w:val="single" w:sz="6" w:space="0" w:color="auto"/>
                  </w:tcBorders>
                  <w:vAlign w:val="center"/>
                </w:tcPr>
                <w:p w14:paraId="0F1BC341" w14:textId="77777777" w:rsidR="00D64E14" w:rsidRPr="00B408BA" w:rsidRDefault="00D64E14" w:rsidP="00EF3CAC">
                  <w:pPr>
                    <w:spacing w:after="0"/>
                    <w:jc w:val="both"/>
                  </w:pPr>
                  <w:r w:rsidRPr="00B408BA">
                    <w:t>$12,758055,160.30</w:t>
                  </w:r>
                </w:p>
              </w:tc>
            </w:tr>
            <w:tr w:rsidR="00D64E14" w:rsidRPr="00B408BA" w14:paraId="05DF35E1" w14:textId="77777777" w:rsidTr="00EF3CAC">
              <w:trPr>
                <w:trHeight w:val="51"/>
              </w:trPr>
              <w:tc>
                <w:tcPr>
                  <w:tcW w:w="4069" w:type="dxa"/>
                  <w:tcBorders>
                    <w:top w:val="single" w:sz="6" w:space="0" w:color="auto"/>
                    <w:left w:val="single" w:sz="6" w:space="0" w:color="auto"/>
                    <w:bottom w:val="single" w:sz="6" w:space="0" w:color="auto"/>
                    <w:right w:val="single" w:sz="6" w:space="0" w:color="auto"/>
                  </w:tcBorders>
                  <w:vAlign w:val="center"/>
                </w:tcPr>
                <w:p w14:paraId="20672487" w14:textId="77777777" w:rsidR="00D64E14" w:rsidRPr="00B408BA" w:rsidRDefault="00D64E14" w:rsidP="00EF3CAC">
                  <w:pPr>
                    <w:spacing w:after="0"/>
                    <w:jc w:val="center"/>
                    <w:rPr>
                      <w:b/>
                      <w:bCs/>
                      <w:i/>
                      <w:iCs/>
                      <w:lang w:eastAsia="es-MX"/>
                    </w:rPr>
                  </w:pPr>
                  <w:r w:rsidRPr="00B408BA">
                    <w:rPr>
                      <w:b/>
                      <w:bCs/>
                      <w:i/>
                      <w:iCs/>
                      <w:lang w:eastAsia="es-MX"/>
                    </w:rPr>
                    <w:t>Total, de Ingresos y Otros Beneficios</w:t>
                  </w:r>
                </w:p>
              </w:tc>
              <w:tc>
                <w:tcPr>
                  <w:tcW w:w="2352" w:type="dxa"/>
                  <w:tcBorders>
                    <w:top w:val="single" w:sz="6" w:space="0" w:color="auto"/>
                    <w:left w:val="single" w:sz="6" w:space="0" w:color="auto"/>
                    <w:bottom w:val="single" w:sz="6" w:space="0" w:color="auto"/>
                    <w:right w:val="single" w:sz="6" w:space="0" w:color="auto"/>
                  </w:tcBorders>
                  <w:vAlign w:val="center"/>
                </w:tcPr>
                <w:p w14:paraId="2FF11F98" w14:textId="30333785" w:rsidR="00D64E14" w:rsidRPr="00B408BA" w:rsidRDefault="0027779E" w:rsidP="00EF3CAC">
                  <w:pPr>
                    <w:spacing w:after="0"/>
                    <w:rPr>
                      <w:b/>
                    </w:rPr>
                  </w:pPr>
                  <w:r>
                    <w:rPr>
                      <w:b/>
                    </w:rPr>
                    <w:t>$19,310,</w:t>
                  </w:r>
                  <w:r w:rsidR="00806DF0">
                    <w:rPr>
                      <w:b/>
                    </w:rPr>
                    <w:t>534,140.70</w:t>
                  </w:r>
                </w:p>
              </w:tc>
              <w:tc>
                <w:tcPr>
                  <w:tcW w:w="2218" w:type="dxa"/>
                  <w:tcBorders>
                    <w:top w:val="single" w:sz="6" w:space="0" w:color="auto"/>
                    <w:left w:val="single" w:sz="6" w:space="0" w:color="auto"/>
                    <w:bottom w:val="single" w:sz="6" w:space="0" w:color="auto"/>
                    <w:right w:val="single" w:sz="6" w:space="0" w:color="auto"/>
                  </w:tcBorders>
                  <w:vAlign w:val="center"/>
                </w:tcPr>
                <w:p w14:paraId="5055C7CF" w14:textId="77777777" w:rsidR="00D64E14" w:rsidRPr="00B408BA" w:rsidRDefault="00D64E14" w:rsidP="00EF3CAC">
                  <w:pPr>
                    <w:spacing w:after="0"/>
                    <w:rPr>
                      <w:b/>
                    </w:rPr>
                  </w:pPr>
                  <w:r w:rsidRPr="00B408BA">
                    <w:rPr>
                      <w:b/>
                    </w:rPr>
                    <w:t>$ 24,371,012,950.32</w:t>
                  </w:r>
                </w:p>
              </w:tc>
            </w:tr>
          </w:tbl>
          <w:p w14:paraId="5F22BEDF" w14:textId="77777777" w:rsidR="00D64E14" w:rsidRPr="00B408BA" w:rsidRDefault="00D64E14" w:rsidP="00EF3CAC">
            <w:pPr>
              <w:jc w:val="both"/>
              <w:rPr>
                <w:bCs/>
                <w:lang w:eastAsia="es-MX"/>
              </w:rPr>
            </w:pPr>
          </w:p>
          <w:p w14:paraId="53014B73" w14:textId="77777777" w:rsidR="00D64E14" w:rsidRPr="00B408BA" w:rsidRDefault="00D64E14" w:rsidP="00EF3CAC">
            <w:pPr>
              <w:spacing w:after="0"/>
              <w:jc w:val="both"/>
              <w:rPr>
                <w:bCs/>
                <w:lang w:eastAsia="es-MX"/>
              </w:rPr>
            </w:pPr>
          </w:p>
          <w:p w14:paraId="73B85DD4" w14:textId="77777777" w:rsidR="00D64E14" w:rsidRPr="00B408BA" w:rsidRDefault="00D64E14" w:rsidP="00D64E14">
            <w:pPr>
              <w:pStyle w:val="Prrafodelista"/>
              <w:numPr>
                <w:ilvl w:val="0"/>
                <w:numId w:val="6"/>
              </w:numPr>
              <w:spacing w:after="0"/>
              <w:jc w:val="both"/>
              <w:rPr>
                <w:rStyle w:val="nfasissutil"/>
              </w:rPr>
            </w:pPr>
            <w:r w:rsidRPr="00B408BA">
              <w:rPr>
                <w:rStyle w:val="nfasissutil"/>
              </w:rPr>
              <w:t>Información Sobre la Deuda y el Reporte Analítico de la Deuda:</w:t>
            </w:r>
          </w:p>
          <w:p w14:paraId="02F4932B" w14:textId="77777777" w:rsidR="00D64E14" w:rsidRPr="00B408BA" w:rsidRDefault="00D64E14" w:rsidP="00EF3CAC">
            <w:pPr>
              <w:pStyle w:val="Prrafodelista"/>
              <w:spacing w:after="0"/>
              <w:ind w:left="360"/>
              <w:jc w:val="both"/>
              <w:rPr>
                <w:rStyle w:val="nfasissutil"/>
              </w:rPr>
            </w:pPr>
          </w:p>
          <w:p w14:paraId="7BBE838D" w14:textId="77777777" w:rsidR="00D64E14" w:rsidRPr="00B408BA" w:rsidRDefault="00D64E14" w:rsidP="00EF3CAC">
            <w:pPr>
              <w:spacing w:line="360" w:lineRule="auto"/>
              <w:jc w:val="both"/>
              <w:rPr>
                <w:lang w:eastAsia="es-MX"/>
              </w:rPr>
            </w:pPr>
            <w:r w:rsidRPr="00B408BA">
              <w:rPr>
                <w:lang w:eastAsia="es-MX"/>
              </w:rPr>
              <w:t>Las obligaciones financieras directas contratadas en periodos anteriores a cargo del Municipio de Zapopan, Jal., están garantizadas con las participaciones federales a partir del mes de mayo 2014 siendo la siguientes:</w:t>
            </w:r>
          </w:p>
          <w:tbl>
            <w:tblPr>
              <w:tblW w:w="8751" w:type="dxa"/>
              <w:jc w:val="center"/>
              <w:tblLayout w:type="fixed"/>
              <w:tblCellMar>
                <w:left w:w="70" w:type="dxa"/>
                <w:right w:w="70" w:type="dxa"/>
              </w:tblCellMar>
              <w:tblLook w:val="0000" w:firstRow="0" w:lastRow="0" w:firstColumn="0" w:lastColumn="0" w:noHBand="0" w:noVBand="0"/>
            </w:tblPr>
            <w:tblGrid>
              <w:gridCol w:w="2589"/>
              <w:gridCol w:w="6162"/>
            </w:tblGrid>
            <w:tr w:rsidR="00D64E14" w:rsidRPr="00B408BA" w14:paraId="142AF10C" w14:textId="77777777" w:rsidTr="00EF3CAC">
              <w:trPr>
                <w:trHeight w:val="287"/>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6C9BB80" w14:textId="77777777" w:rsidR="00D64E14" w:rsidRPr="00B408BA" w:rsidRDefault="00D64E14" w:rsidP="00EF3CAC">
                  <w:pPr>
                    <w:spacing w:after="0"/>
                    <w:jc w:val="center"/>
                    <w:rPr>
                      <w:b/>
                      <w:bCs/>
                      <w:color w:val="000000"/>
                      <w:sz w:val="20"/>
                      <w:lang w:eastAsia="es-MX"/>
                    </w:rPr>
                  </w:pPr>
                  <w:r w:rsidRPr="00B408BA">
                    <w:rPr>
                      <w:b/>
                      <w:bCs/>
                      <w:color w:val="000000"/>
                      <w:sz w:val="20"/>
                      <w:lang w:eastAsia="es-MX"/>
                    </w:rPr>
                    <w:t>Crédito con BBVA México, Institución de banca múltiple grupo financiero BBVA México</w:t>
                  </w:r>
                </w:p>
              </w:tc>
            </w:tr>
            <w:tr w:rsidR="00D64E14" w:rsidRPr="00B408BA" w14:paraId="27EAB745" w14:textId="77777777" w:rsidTr="00EF3CAC">
              <w:trPr>
                <w:trHeight w:val="65"/>
                <w:jc w:val="center"/>
              </w:trPr>
              <w:tc>
                <w:tcPr>
                  <w:tcW w:w="1479" w:type="pct"/>
                  <w:tcBorders>
                    <w:top w:val="nil"/>
                    <w:left w:val="single" w:sz="6" w:space="0" w:color="auto"/>
                    <w:bottom w:val="single" w:sz="6" w:space="0" w:color="auto"/>
                    <w:right w:val="single" w:sz="6" w:space="0" w:color="auto"/>
                  </w:tcBorders>
                  <w:vAlign w:val="center"/>
                </w:tcPr>
                <w:p w14:paraId="4E6E2124" w14:textId="77777777" w:rsidR="00D64E14" w:rsidRPr="00B408BA" w:rsidRDefault="00D64E14" w:rsidP="00EF3CAC">
                  <w:pPr>
                    <w:spacing w:after="0"/>
                    <w:jc w:val="both"/>
                    <w:rPr>
                      <w:color w:val="000000"/>
                      <w:sz w:val="20"/>
                      <w:lang w:eastAsia="es-MX"/>
                    </w:rPr>
                  </w:pPr>
                  <w:r w:rsidRPr="00B408BA">
                    <w:rPr>
                      <w:color w:val="000000"/>
                      <w:sz w:val="20"/>
                      <w:lang w:eastAsia="es-MX"/>
                    </w:rPr>
                    <w:t>Responsable de la Autorización</w:t>
                  </w:r>
                </w:p>
              </w:tc>
              <w:tc>
                <w:tcPr>
                  <w:tcW w:w="3521" w:type="pct"/>
                  <w:tcBorders>
                    <w:top w:val="nil"/>
                    <w:left w:val="nil"/>
                    <w:bottom w:val="single" w:sz="6" w:space="0" w:color="auto"/>
                    <w:right w:val="single" w:sz="6" w:space="0" w:color="auto"/>
                  </w:tcBorders>
                  <w:vAlign w:val="center"/>
                </w:tcPr>
                <w:p w14:paraId="71FA3C5D" w14:textId="77777777" w:rsidR="00D64E14" w:rsidRPr="00B408BA" w:rsidRDefault="00D64E14" w:rsidP="00EF3CAC">
                  <w:pPr>
                    <w:spacing w:after="0"/>
                    <w:jc w:val="both"/>
                    <w:rPr>
                      <w:color w:val="000000"/>
                      <w:sz w:val="20"/>
                      <w:lang w:eastAsia="es-MX"/>
                    </w:rPr>
                  </w:pPr>
                  <w:r w:rsidRPr="00B408BA">
                    <w:rPr>
                      <w:color w:val="000000"/>
                      <w:sz w:val="20"/>
                      <w:lang w:eastAsia="es-MX"/>
                    </w:rPr>
                    <w:t>H. Ayuntamiento de Zapopan, Administración 2024-2027.</w:t>
                  </w:r>
                </w:p>
              </w:tc>
            </w:tr>
            <w:tr w:rsidR="00D64E14" w:rsidRPr="00B408BA" w14:paraId="7E5FD2EA" w14:textId="77777777" w:rsidTr="00EF3CAC">
              <w:trPr>
                <w:trHeight w:val="51"/>
                <w:jc w:val="center"/>
              </w:trPr>
              <w:tc>
                <w:tcPr>
                  <w:tcW w:w="1479" w:type="pct"/>
                  <w:tcBorders>
                    <w:top w:val="nil"/>
                    <w:left w:val="single" w:sz="6" w:space="0" w:color="auto"/>
                    <w:bottom w:val="single" w:sz="6" w:space="0" w:color="auto"/>
                    <w:right w:val="single" w:sz="6" w:space="0" w:color="auto"/>
                  </w:tcBorders>
                  <w:vAlign w:val="center"/>
                </w:tcPr>
                <w:p w14:paraId="728592BA" w14:textId="77777777" w:rsidR="00D64E14" w:rsidRPr="00B408BA" w:rsidRDefault="00D64E14" w:rsidP="00EF3CAC">
                  <w:pPr>
                    <w:spacing w:after="0"/>
                    <w:jc w:val="both"/>
                    <w:rPr>
                      <w:color w:val="000000"/>
                      <w:sz w:val="20"/>
                      <w:lang w:eastAsia="es-MX"/>
                    </w:rPr>
                  </w:pPr>
                  <w:r w:rsidRPr="00B408BA">
                    <w:rPr>
                      <w:color w:val="000000"/>
                      <w:sz w:val="20"/>
                      <w:lang w:eastAsia="es-MX"/>
                    </w:rPr>
                    <w:t>Fecha de contratación</w:t>
                  </w:r>
                </w:p>
              </w:tc>
              <w:tc>
                <w:tcPr>
                  <w:tcW w:w="3521" w:type="pct"/>
                  <w:tcBorders>
                    <w:top w:val="nil"/>
                    <w:left w:val="nil"/>
                    <w:bottom w:val="single" w:sz="6" w:space="0" w:color="auto"/>
                    <w:right w:val="single" w:sz="6" w:space="0" w:color="auto"/>
                  </w:tcBorders>
                  <w:vAlign w:val="center"/>
                </w:tcPr>
                <w:p w14:paraId="095AE069" w14:textId="77777777" w:rsidR="00D64E14" w:rsidRPr="00B408BA" w:rsidRDefault="00D64E14" w:rsidP="00EF3CAC">
                  <w:pPr>
                    <w:spacing w:after="0"/>
                    <w:jc w:val="both"/>
                    <w:rPr>
                      <w:color w:val="000000"/>
                      <w:sz w:val="20"/>
                      <w:lang w:eastAsia="es-MX"/>
                    </w:rPr>
                  </w:pPr>
                  <w:r w:rsidRPr="00B408BA">
                    <w:rPr>
                      <w:color w:val="000000"/>
                      <w:sz w:val="20"/>
                      <w:lang w:eastAsia="es-MX"/>
                    </w:rPr>
                    <w:t>28 de noviembre del 2022</w:t>
                  </w:r>
                </w:p>
              </w:tc>
            </w:tr>
            <w:tr w:rsidR="00D64E14" w:rsidRPr="00B408BA" w14:paraId="4D710A5E" w14:textId="77777777" w:rsidTr="00EF3CAC">
              <w:trPr>
                <w:trHeight w:val="51"/>
                <w:jc w:val="center"/>
              </w:trPr>
              <w:tc>
                <w:tcPr>
                  <w:tcW w:w="1479" w:type="pct"/>
                  <w:tcBorders>
                    <w:top w:val="nil"/>
                    <w:left w:val="single" w:sz="6" w:space="0" w:color="auto"/>
                    <w:bottom w:val="single" w:sz="6" w:space="0" w:color="auto"/>
                    <w:right w:val="single" w:sz="6" w:space="0" w:color="auto"/>
                  </w:tcBorders>
                  <w:vAlign w:val="center"/>
                </w:tcPr>
                <w:p w14:paraId="3D2B52BE" w14:textId="77777777" w:rsidR="00D64E14" w:rsidRPr="00B408BA" w:rsidRDefault="00D64E14" w:rsidP="00EF3CAC">
                  <w:pPr>
                    <w:spacing w:after="0"/>
                    <w:jc w:val="both"/>
                    <w:rPr>
                      <w:color w:val="000000"/>
                      <w:sz w:val="20"/>
                      <w:lang w:eastAsia="es-MX"/>
                    </w:rPr>
                  </w:pPr>
                  <w:r w:rsidRPr="00B408BA">
                    <w:rPr>
                      <w:color w:val="000000"/>
                      <w:sz w:val="20"/>
                      <w:lang w:eastAsia="es-MX"/>
                    </w:rPr>
                    <w:t xml:space="preserve">Monto Original del crédito Contratado </w:t>
                  </w:r>
                </w:p>
              </w:tc>
              <w:tc>
                <w:tcPr>
                  <w:tcW w:w="3521" w:type="pct"/>
                  <w:tcBorders>
                    <w:top w:val="nil"/>
                    <w:left w:val="nil"/>
                    <w:bottom w:val="single" w:sz="6" w:space="0" w:color="auto"/>
                    <w:right w:val="single" w:sz="6" w:space="0" w:color="auto"/>
                  </w:tcBorders>
                  <w:vAlign w:val="center"/>
                </w:tcPr>
                <w:p w14:paraId="4212270E" w14:textId="77777777" w:rsidR="00D64E14" w:rsidRPr="00B408BA" w:rsidRDefault="00D64E14" w:rsidP="00EF3CAC">
                  <w:pPr>
                    <w:spacing w:after="0"/>
                    <w:jc w:val="both"/>
                    <w:rPr>
                      <w:color w:val="000000"/>
                      <w:sz w:val="20"/>
                      <w:lang w:eastAsia="es-MX"/>
                    </w:rPr>
                  </w:pPr>
                  <w:r w:rsidRPr="00B408BA">
                    <w:rPr>
                      <w:color w:val="000000"/>
                      <w:sz w:val="20"/>
                      <w:lang w:eastAsia="es-MX"/>
                    </w:rPr>
                    <w:t xml:space="preserve">$ 805,107,892.22 (Ochocientos cinco millones ciento siete mil ochocientos noventa y dos pesos 22/100 M. N.) </w:t>
                  </w:r>
                </w:p>
              </w:tc>
            </w:tr>
            <w:tr w:rsidR="00D64E14" w:rsidRPr="00B408BA" w14:paraId="224D344F" w14:textId="77777777" w:rsidTr="00EF3CAC">
              <w:trPr>
                <w:trHeight w:val="51"/>
                <w:jc w:val="center"/>
              </w:trPr>
              <w:tc>
                <w:tcPr>
                  <w:tcW w:w="1479" w:type="pct"/>
                  <w:tcBorders>
                    <w:top w:val="nil"/>
                    <w:left w:val="single" w:sz="6" w:space="0" w:color="auto"/>
                    <w:bottom w:val="single" w:sz="6" w:space="0" w:color="auto"/>
                    <w:right w:val="single" w:sz="6" w:space="0" w:color="auto"/>
                  </w:tcBorders>
                  <w:vAlign w:val="center"/>
                </w:tcPr>
                <w:p w14:paraId="04A7A087" w14:textId="77777777" w:rsidR="00D64E14" w:rsidRPr="00B408BA" w:rsidRDefault="00D64E14" w:rsidP="00EF3CAC">
                  <w:pPr>
                    <w:spacing w:after="0"/>
                    <w:jc w:val="both"/>
                    <w:rPr>
                      <w:color w:val="000000"/>
                      <w:sz w:val="20"/>
                      <w:lang w:eastAsia="es-MX"/>
                    </w:rPr>
                  </w:pPr>
                  <w:r w:rsidRPr="00B408BA">
                    <w:rPr>
                      <w:color w:val="000000"/>
                      <w:sz w:val="20"/>
                      <w:lang w:eastAsia="es-MX"/>
                    </w:rPr>
                    <w:t>Tasa de interés</w:t>
                  </w:r>
                </w:p>
              </w:tc>
              <w:tc>
                <w:tcPr>
                  <w:tcW w:w="3521" w:type="pct"/>
                  <w:tcBorders>
                    <w:top w:val="nil"/>
                    <w:left w:val="nil"/>
                    <w:bottom w:val="single" w:sz="6" w:space="0" w:color="auto"/>
                    <w:right w:val="single" w:sz="6" w:space="0" w:color="auto"/>
                  </w:tcBorders>
                  <w:vAlign w:val="center"/>
                </w:tcPr>
                <w:p w14:paraId="2DC60F7F" w14:textId="77777777" w:rsidR="00D64E14" w:rsidRPr="00B408BA" w:rsidRDefault="00D64E14" w:rsidP="00EF3CAC">
                  <w:pPr>
                    <w:spacing w:after="0"/>
                    <w:jc w:val="both"/>
                    <w:rPr>
                      <w:color w:val="000000"/>
                      <w:sz w:val="20"/>
                      <w:lang w:eastAsia="es-MX"/>
                    </w:rPr>
                  </w:pPr>
                  <w:r w:rsidRPr="00B408BA">
                    <w:rPr>
                      <w:color w:val="000000"/>
                      <w:sz w:val="20"/>
                      <w:lang w:eastAsia="es-MX"/>
                    </w:rPr>
                    <w:t>TIIE a 28 días más sobretasa de 0.32% tasa efectiva 10.80%</w:t>
                  </w:r>
                </w:p>
              </w:tc>
            </w:tr>
            <w:tr w:rsidR="00D64E14" w:rsidRPr="00B408BA" w14:paraId="10289C14" w14:textId="77777777" w:rsidTr="00EF3CAC">
              <w:trPr>
                <w:trHeight w:val="51"/>
                <w:jc w:val="center"/>
              </w:trPr>
              <w:tc>
                <w:tcPr>
                  <w:tcW w:w="1479" w:type="pct"/>
                  <w:tcBorders>
                    <w:top w:val="nil"/>
                    <w:left w:val="single" w:sz="6" w:space="0" w:color="auto"/>
                    <w:bottom w:val="single" w:sz="6" w:space="0" w:color="auto"/>
                    <w:right w:val="single" w:sz="6" w:space="0" w:color="auto"/>
                  </w:tcBorders>
                  <w:vAlign w:val="center"/>
                </w:tcPr>
                <w:p w14:paraId="06DC84E2" w14:textId="77777777" w:rsidR="00D64E14" w:rsidRPr="00B408BA" w:rsidRDefault="00D64E14" w:rsidP="00EF3CAC">
                  <w:pPr>
                    <w:spacing w:after="0"/>
                    <w:jc w:val="both"/>
                    <w:rPr>
                      <w:color w:val="000000"/>
                      <w:sz w:val="20"/>
                      <w:lang w:eastAsia="es-MX"/>
                    </w:rPr>
                  </w:pPr>
                  <w:r w:rsidRPr="00B408BA">
                    <w:rPr>
                      <w:color w:val="000000"/>
                      <w:sz w:val="20"/>
                      <w:lang w:eastAsia="es-MX"/>
                    </w:rPr>
                    <w:t>Monto total amortizable</w:t>
                  </w:r>
                </w:p>
              </w:tc>
              <w:tc>
                <w:tcPr>
                  <w:tcW w:w="3521" w:type="pct"/>
                  <w:tcBorders>
                    <w:top w:val="nil"/>
                    <w:left w:val="nil"/>
                    <w:bottom w:val="single" w:sz="6" w:space="0" w:color="auto"/>
                    <w:right w:val="single" w:sz="6" w:space="0" w:color="auto"/>
                  </w:tcBorders>
                  <w:vAlign w:val="center"/>
                </w:tcPr>
                <w:p w14:paraId="54E27ED5" w14:textId="77777777" w:rsidR="00D64E14" w:rsidRPr="00B408BA" w:rsidRDefault="00D64E14" w:rsidP="00EF3CAC">
                  <w:pPr>
                    <w:spacing w:after="0"/>
                    <w:jc w:val="both"/>
                    <w:rPr>
                      <w:color w:val="000000"/>
                      <w:sz w:val="20"/>
                      <w:lang w:eastAsia="es-MX"/>
                    </w:rPr>
                  </w:pPr>
                  <w:r w:rsidRPr="00B408BA">
                    <w:rPr>
                      <w:color w:val="000000"/>
                      <w:sz w:val="20"/>
                      <w:lang w:eastAsia="es-MX"/>
                    </w:rPr>
                    <w:t>Pagos mensuales y consecutivos de capital.</w:t>
                  </w:r>
                </w:p>
              </w:tc>
            </w:tr>
            <w:tr w:rsidR="00D64E14" w:rsidRPr="00B408BA" w14:paraId="18F63152" w14:textId="77777777" w:rsidTr="00EF3CAC">
              <w:trPr>
                <w:trHeight w:val="51"/>
                <w:jc w:val="center"/>
              </w:trPr>
              <w:tc>
                <w:tcPr>
                  <w:tcW w:w="1479" w:type="pct"/>
                  <w:tcBorders>
                    <w:top w:val="nil"/>
                    <w:left w:val="single" w:sz="6" w:space="0" w:color="auto"/>
                    <w:bottom w:val="single" w:sz="6" w:space="0" w:color="auto"/>
                    <w:right w:val="single" w:sz="6" w:space="0" w:color="auto"/>
                  </w:tcBorders>
                  <w:vAlign w:val="center"/>
                </w:tcPr>
                <w:p w14:paraId="00F877EC" w14:textId="77777777" w:rsidR="00D64E14" w:rsidRPr="00B408BA" w:rsidRDefault="00D64E14" w:rsidP="00EF3CAC">
                  <w:pPr>
                    <w:spacing w:after="0"/>
                    <w:jc w:val="both"/>
                    <w:rPr>
                      <w:color w:val="000000"/>
                      <w:sz w:val="20"/>
                      <w:lang w:eastAsia="es-MX"/>
                    </w:rPr>
                  </w:pPr>
                  <w:r w:rsidRPr="00B408BA">
                    <w:rPr>
                      <w:color w:val="000000"/>
                      <w:sz w:val="20"/>
                      <w:lang w:eastAsia="es-MX"/>
                    </w:rPr>
                    <w:t>Plazo de vencimiento</w:t>
                  </w:r>
                </w:p>
              </w:tc>
              <w:tc>
                <w:tcPr>
                  <w:tcW w:w="3521" w:type="pct"/>
                  <w:tcBorders>
                    <w:top w:val="nil"/>
                    <w:left w:val="nil"/>
                    <w:bottom w:val="single" w:sz="6" w:space="0" w:color="auto"/>
                    <w:right w:val="single" w:sz="6" w:space="0" w:color="auto"/>
                  </w:tcBorders>
                  <w:vAlign w:val="center"/>
                </w:tcPr>
                <w:p w14:paraId="571D453E" w14:textId="77777777" w:rsidR="00D64E14" w:rsidRPr="00B408BA" w:rsidRDefault="00D64E14" w:rsidP="00EF3CAC">
                  <w:pPr>
                    <w:spacing w:after="0"/>
                    <w:jc w:val="both"/>
                    <w:rPr>
                      <w:color w:val="000000"/>
                      <w:sz w:val="20"/>
                      <w:lang w:eastAsia="es-MX"/>
                    </w:rPr>
                  </w:pPr>
                  <w:r w:rsidRPr="00B408BA">
                    <w:rPr>
                      <w:color w:val="000000"/>
                      <w:sz w:val="20"/>
                      <w:lang w:eastAsia="es-MX"/>
                    </w:rPr>
                    <w:t>78 meses (2,429) días naturales contando a partir de la firma del contrato y su fecha de vencimiento es igual al contrato original es decir 07 de mayo de 2029.</w:t>
                  </w:r>
                </w:p>
              </w:tc>
            </w:tr>
            <w:tr w:rsidR="00D64E14" w:rsidRPr="00B408BA" w14:paraId="3A504CBD" w14:textId="77777777" w:rsidTr="00EF3CAC">
              <w:trPr>
                <w:trHeight w:val="51"/>
                <w:jc w:val="center"/>
              </w:trPr>
              <w:tc>
                <w:tcPr>
                  <w:tcW w:w="1479" w:type="pct"/>
                  <w:tcBorders>
                    <w:top w:val="nil"/>
                    <w:left w:val="single" w:sz="6" w:space="0" w:color="auto"/>
                    <w:bottom w:val="single" w:sz="6" w:space="0" w:color="auto"/>
                    <w:right w:val="single" w:sz="6" w:space="0" w:color="auto"/>
                  </w:tcBorders>
                  <w:vAlign w:val="center"/>
                </w:tcPr>
                <w:p w14:paraId="37CED4E8" w14:textId="77777777" w:rsidR="00D64E14" w:rsidRPr="00B408BA" w:rsidRDefault="00D64E14" w:rsidP="00EF3CAC">
                  <w:pPr>
                    <w:spacing w:after="0"/>
                    <w:jc w:val="both"/>
                    <w:rPr>
                      <w:color w:val="000000"/>
                      <w:sz w:val="20"/>
                      <w:lang w:eastAsia="es-MX"/>
                    </w:rPr>
                  </w:pPr>
                  <w:r w:rsidRPr="00B408BA">
                    <w:rPr>
                      <w:color w:val="000000"/>
                      <w:sz w:val="20"/>
                      <w:lang w:eastAsia="es-MX"/>
                    </w:rPr>
                    <w:t>Institución crediticia</w:t>
                  </w:r>
                </w:p>
              </w:tc>
              <w:tc>
                <w:tcPr>
                  <w:tcW w:w="3521" w:type="pct"/>
                  <w:tcBorders>
                    <w:top w:val="nil"/>
                    <w:left w:val="nil"/>
                    <w:bottom w:val="single" w:sz="6" w:space="0" w:color="auto"/>
                    <w:right w:val="single" w:sz="6" w:space="0" w:color="auto"/>
                  </w:tcBorders>
                  <w:vAlign w:val="center"/>
                </w:tcPr>
                <w:p w14:paraId="14CA9203" w14:textId="77777777" w:rsidR="00D64E14" w:rsidRPr="00B408BA" w:rsidRDefault="00D64E14" w:rsidP="00EF3CAC">
                  <w:pPr>
                    <w:spacing w:after="0"/>
                    <w:jc w:val="both"/>
                    <w:rPr>
                      <w:color w:val="000000"/>
                      <w:sz w:val="20"/>
                      <w:lang w:eastAsia="es-MX"/>
                    </w:rPr>
                  </w:pPr>
                  <w:r w:rsidRPr="00B408BA">
                    <w:rPr>
                      <w:color w:val="000000"/>
                      <w:sz w:val="20"/>
                      <w:lang w:eastAsia="es-MX"/>
                    </w:rPr>
                    <w:t>BBVA México, S.A Institución de Banca Múltiple grupo financiero BBVA México.</w:t>
                  </w:r>
                </w:p>
              </w:tc>
            </w:tr>
            <w:tr w:rsidR="00D64E14" w:rsidRPr="00B408BA" w14:paraId="4B4842AC" w14:textId="77777777" w:rsidTr="00EF3CAC">
              <w:trPr>
                <w:trHeight w:val="51"/>
                <w:jc w:val="center"/>
              </w:trPr>
              <w:tc>
                <w:tcPr>
                  <w:tcW w:w="1479" w:type="pct"/>
                  <w:tcBorders>
                    <w:top w:val="nil"/>
                    <w:left w:val="single" w:sz="6" w:space="0" w:color="auto"/>
                    <w:bottom w:val="single" w:sz="6" w:space="0" w:color="auto"/>
                    <w:right w:val="single" w:sz="6" w:space="0" w:color="auto"/>
                  </w:tcBorders>
                  <w:vAlign w:val="center"/>
                </w:tcPr>
                <w:p w14:paraId="359CCBB9" w14:textId="77777777" w:rsidR="00D64E14" w:rsidRPr="00B408BA" w:rsidRDefault="00D64E14" w:rsidP="00EF3CAC">
                  <w:pPr>
                    <w:spacing w:after="0"/>
                    <w:jc w:val="both"/>
                    <w:rPr>
                      <w:color w:val="000000"/>
                      <w:sz w:val="20"/>
                      <w:lang w:eastAsia="es-MX"/>
                    </w:rPr>
                  </w:pPr>
                  <w:r w:rsidRPr="00B408BA">
                    <w:rPr>
                      <w:color w:val="000000"/>
                      <w:sz w:val="20"/>
                      <w:lang w:eastAsia="es-MX"/>
                    </w:rPr>
                    <w:t>Objeto de aplicación</w:t>
                  </w:r>
                </w:p>
              </w:tc>
              <w:tc>
                <w:tcPr>
                  <w:tcW w:w="3521" w:type="pct"/>
                  <w:tcBorders>
                    <w:top w:val="nil"/>
                    <w:left w:val="nil"/>
                    <w:bottom w:val="single" w:sz="6" w:space="0" w:color="auto"/>
                    <w:right w:val="single" w:sz="6" w:space="0" w:color="auto"/>
                  </w:tcBorders>
                  <w:vAlign w:val="center"/>
                </w:tcPr>
                <w:p w14:paraId="5B40429C" w14:textId="77777777" w:rsidR="00D64E14" w:rsidRPr="00B408BA" w:rsidRDefault="00D64E14" w:rsidP="00EF3CAC">
                  <w:pPr>
                    <w:spacing w:after="0"/>
                    <w:jc w:val="both"/>
                    <w:rPr>
                      <w:color w:val="000000"/>
                      <w:sz w:val="20"/>
                      <w:lang w:eastAsia="es-MX"/>
                    </w:rPr>
                  </w:pPr>
                  <w:r w:rsidRPr="00B408BA">
                    <w:rPr>
                      <w:color w:val="000000"/>
                      <w:sz w:val="20"/>
                      <w:lang w:eastAsia="es-MX"/>
                    </w:rPr>
                    <w:t xml:space="preserve">Refinanciamiento del contrato de fecha 09 de abril de 2014 con clave de inscripción P14-0414044 contratado con Banco Mercantil del Norte, SA, </w:t>
                  </w:r>
                  <w:r w:rsidRPr="00B408BA">
                    <w:rPr>
                      <w:color w:val="000000"/>
                      <w:sz w:val="20"/>
                      <w:lang w:eastAsia="es-MX"/>
                    </w:rPr>
                    <w:lastRenderedPageBreak/>
                    <w:t>Institución de Banca Múltiple, Grupo Financiero Banorte y refinanciado con la Institución BBVA México, S.A, Institución de Banca Múltiple grupo financiero BBVA México</w:t>
                  </w:r>
                </w:p>
              </w:tc>
            </w:tr>
            <w:tr w:rsidR="00D64E14" w:rsidRPr="00B408BA" w14:paraId="12ECD07C" w14:textId="77777777" w:rsidTr="00EF3CAC">
              <w:trPr>
                <w:trHeight w:val="51"/>
                <w:jc w:val="center"/>
              </w:trPr>
              <w:tc>
                <w:tcPr>
                  <w:tcW w:w="1479" w:type="pct"/>
                  <w:tcBorders>
                    <w:top w:val="single" w:sz="6" w:space="0" w:color="auto"/>
                    <w:left w:val="single" w:sz="6" w:space="0" w:color="auto"/>
                    <w:bottom w:val="single" w:sz="4" w:space="0" w:color="auto"/>
                    <w:right w:val="single" w:sz="6" w:space="0" w:color="auto"/>
                  </w:tcBorders>
                  <w:vAlign w:val="center"/>
                </w:tcPr>
                <w:p w14:paraId="2E329ED2" w14:textId="6D6DE283" w:rsidR="00D64E14" w:rsidRPr="00B408BA" w:rsidRDefault="00D64E14" w:rsidP="00EF3CAC">
                  <w:pPr>
                    <w:spacing w:after="0"/>
                    <w:jc w:val="both"/>
                    <w:rPr>
                      <w:bCs/>
                      <w:color w:val="000000"/>
                      <w:sz w:val="20"/>
                      <w:lang w:eastAsia="es-MX"/>
                    </w:rPr>
                  </w:pPr>
                  <w:r w:rsidRPr="00B408BA">
                    <w:rPr>
                      <w:bCs/>
                      <w:color w:val="000000"/>
                      <w:sz w:val="20"/>
                      <w:lang w:eastAsia="es-MX"/>
                    </w:rPr>
                    <w:lastRenderedPageBreak/>
                    <w:t xml:space="preserve">Saldo al </w:t>
                  </w:r>
                  <w:r w:rsidR="00806DF0">
                    <w:rPr>
                      <w:bCs/>
                      <w:color w:val="000000"/>
                      <w:sz w:val="20"/>
                      <w:lang w:eastAsia="es-MX"/>
                    </w:rPr>
                    <w:t>31 de diciembre 2025</w:t>
                  </w:r>
                </w:p>
              </w:tc>
              <w:tc>
                <w:tcPr>
                  <w:tcW w:w="3521" w:type="pct"/>
                  <w:tcBorders>
                    <w:top w:val="single" w:sz="6" w:space="0" w:color="auto"/>
                    <w:left w:val="nil"/>
                    <w:bottom w:val="single" w:sz="4" w:space="0" w:color="auto"/>
                    <w:right w:val="single" w:sz="6" w:space="0" w:color="auto"/>
                  </w:tcBorders>
                  <w:vAlign w:val="center"/>
                </w:tcPr>
                <w:p w14:paraId="6703AC10" w14:textId="7C8B23FB" w:rsidR="00D64E14" w:rsidRPr="00B408BA" w:rsidRDefault="00D64E14" w:rsidP="00EF3CAC">
                  <w:pPr>
                    <w:spacing w:after="0"/>
                    <w:jc w:val="both"/>
                    <w:rPr>
                      <w:bCs/>
                      <w:color w:val="000000"/>
                      <w:sz w:val="20"/>
                      <w:lang w:eastAsia="es-MX"/>
                    </w:rPr>
                  </w:pPr>
                  <w:r w:rsidRPr="00B408BA">
                    <w:rPr>
                      <w:bCs/>
                      <w:color w:val="000000"/>
                      <w:sz w:val="20"/>
                      <w:lang w:eastAsia="es-MX"/>
                    </w:rPr>
                    <w:t>$</w:t>
                  </w:r>
                  <w:r w:rsidR="00806DF0">
                    <w:rPr>
                      <w:bCs/>
                      <w:color w:val="000000"/>
                      <w:sz w:val="20"/>
                      <w:lang w:eastAsia="es-MX"/>
                    </w:rPr>
                    <w:t>510,275,810.61</w:t>
                  </w:r>
                </w:p>
              </w:tc>
            </w:tr>
          </w:tbl>
          <w:p w14:paraId="2206E364" w14:textId="77777777" w:rsidR="00D64E14" w:rsidRPr="00B408BA" w:rsidRDefault="00D64E14" w:rsidP="00EF3CAC">
            <w:pPr>
              <w:spacing w:after="0"/>
              <w:jc w:val="both"/>
              <w:rPr>
                <w:lang w:eastAsia="es-MX"/>
              </w:rPr>
            </w:pPr>
          </w:p>
          <w:p w14:paraId="74418A6C" w14:textId="77777777" w:rsidR="00D64E14" w:rsidRPr="00B408BA" w:rsidRDefault="00D64E14" w:rsidP="00EF3CAC">
            <w:pPr>
              <w:spacing w:after="0" w:line="360" w:lineRule="auto"/>
              <w:jc w:val="both"/>
              <w:rPr>
                <w:lang w:eastAsia="es-MX"/>
              </w:rPr>
            </w:pPr>
          </w:p>
          <w:p w14:paraId="116843E1" w14:textId="77777777" w:rsidR="00D64E14" w:rsidRPr="00B408BA" w:rsidRDefault="00D64E14" w:rsidP="00EF3CAC">
            <w:pPr>
              <w:spacing w:after="0" w:line="360" w:lineRule="auto"/>
              <w:jc w:val="both"/>
              <w:rPr>
                <w:lang w:eastAsia="es-MX"/>
              </w:rPr>
            </w:pPr>
            <w:r w:rsidRPr="00B408BA">
              <w:rPr>
                <w:lang w:eastAsia="es-MX"/>
              </w:rPr>
              <w:t>Además de las obligaciones financieras directas contratadas con vigencia a partir del 04 de diciembre del 2019, garantizadas con fuente de pago hasta 35% del Fondo General de las Participaciones del Ramo 28, y hasta 35% de los derechos e ingresos que por concepto de participaciones en ingresos federales del Fondo del Fomento Municipal que le corresponden al Municipio de Zapopan, Jalisco, con vigencia a partir del 09 de diciembre del 2019 es la siguiente:</w:t>
            </w:r>
          </w:p>
          <w:p w14:paraId="6800BEEA" w14:textId="77777777" w:rsidR="00D64E14" w:rsidRPr="00B408BA" w:rsidRDefault="00D64E14" w:rsidP="00EF3CAC">
            <w:pPr>
              <w:spacing w:after="0" w:line="360" w:lineRule="auto"/>
              <w:jc w:val="both"/>
              <w:rPr>
                <w:lang w:eastAsia="es-MX"/>
              </w:rPr>
            </w:pPr>
          </w:p>
          <w:tbl>
            <w:tblPr>
              <w:tblW w:w="8838" w:type="dxa"/>
              <w:tblLayout w:type="fixed"/>
              <w:tblCellMar>
                <w:left w:w="70" w:type="dxa"/>
                <w:right w:w="70" w:type="dxa"/>
              </w:tblCellMar>
              <w:tblLook w:val="0000" w:firstRow="0" w:lastRow="0" w:firstColumn="0" w:lastColumn="0" w:noHBand="0" w:noVBand="0"/>
            </w:tblPr>
            <w:tblGrid>
              <w:gridCol w:w="2632"/>
              <w:gridCol w:w="6206"/>
            </w:tblGrid>
            <w:tr w:rsidR="00D64E14" w:rsidRPr="00B408BA" w14:paraId="13BE71DF" w14:textId="77777777" w:rsidTr="00EF3CAC">
              <w:trPr>
                <w:trHeight w:val="292"/>
              </w:trPr>
              <w:tc>
                <w:tcPr>
                  <w:tcW w:w="5000" w:type="pct"/>
                  <w:gridSpan w:val="2"/>
                  <w:tcBorders>
                    <w:top w:val="single" w:sz="6" w:space="0" w:color="auto"/>
                    <w:left w:val="single" w:sz="6" w:space="0" w:color="auto"/>
                    <w:bottom w:val="single" w:sz="6" w:space="0" w:color="auto"/>
                    <w:right w:val="single" w:sz="6" w:space="0" w:color="auto"/>
                  </w:tcBorders>
                  <w:vAlign w:val="center"/>
                </w:tcPr>
                <w:p w14:paraId="7FA90F57" w14:textId="77777777" w:rsidR="00D64E14" w:rsidRPr="00B408BA" w:rsidRDefault="00D64E14" w:rsidP="00EF3CAC">
                  <w:pPr>
                    <w:spacing w:after="0"/>
                    <w:jc w:val="center"/>
                    <w:rPr>
                      <w:b/>
                      <w:bCs/>
                      <w:color w:val="000000"/>
                      <w:sz w:val="20"/>
                      <w:lang w:eastAsia="es-MX"/>
                    </w:rPr>
                  </w:pPr>
                  <w:r w:rsidRPr="00B408BA">
                    <w:rPr>
                      <w:b/>
                      <w:bCs/>
                      <w:color w:val="000000"/>
                      <w:sz w:val="20"/>
                      <w:lang w:eastAsia="es-MX"/>
                    </w:rPr>
                    <w:t xml:space="preserve">Crédito con </w:t>
                  </w:r>
                  <w:r w:rsidRPr="00B408BA">
                    <w:rPr>
                      <w:b/>
                      <w:color w:val="000000"/>
                      <w:sz w:val="20"/>
                      <w:lang w:eastAsia="es-MX"/>
                    </w:rPr>
                    <w:t>el Banco Nacional de Obras y Servicios Públicos S.N.C. (BANOBRAS)</w:t>
                  </w:r>
                </w:p>
              </w:tc>
            </w:tr>
            <w:tr w:rsidR="00D64E14" w:rsidRPr="00B408BA" w14:paraId="29C50FEE" w14:textId="77777777" w:rsidTr="00EF3CAC">
              <w:trPr>
                <w:trHeight w:val="261"/>
              </w:trPr>
              <w:tc>
                <w:tcPr>
                  <w:tcW w:w="1489" w:type="pct"/>
                  <w:tcBorders>
                    <w:top w:val="nil"/>
                    <w:left w:val="single" w:sz="6" w:space="0" w:color="auto"/>
                    <w:bottom w:val="single" w:sz="6" w:space="0" w:color="auto"/>
                    <w:right w:val="single" w:sz="6" w:space="0" w:color="auto"/>
                  </w:tcBorders>
                  <w:vAlign w:val="center"/>
                </w:tcPr>
                <w:p w14:paraId="0C2335D5" w14:textId="77777777" w:rsidR="00D64E14" w:rsidRPr="00B408BA" w:rsidRDefault="00D64E14" w:rsidP="00EF3CAC">
                  <w:pPr>
                    <w:spacing w:after="0"/>
                    <w:jc w:val="both"/>
                    <w:rPr>
                      <w:color w:val="000000"/>
                      <w:sz w:val="20"/>
                      <w:lang w:eastAsia="es-MX"/>
                    </w:rPr>
                  </w:pPr>
                  <w:r w:rsidRPr="00B408BA">
                    <w:rPr>
                      <w:color w:val="000000"/>
                      <w:sz w:val="20"/>
                      <w:lang w:eastAsia="es-MX"/>
                    </w:rPr>
                    <w:t>Responsable de la Autorización</w:t>
                  </w:r>
                </w:p>
              </w:tc>
              <w:tc>
                <w:tcPr>
                  <w:tcW w:w="3511" w:type="pct"/>
                  <w:tcBorders>
                    <w:top w:val="nil"/>
                    <w:left w:val="nil"/>
                    <w:bottom w:val="single" w:sz="6" w:space="0" w:color="auto"/>
                    <w:right w:val="single" w:sz="6" w:space="0" w:color="auto"/>
                  </w:tcBorders>
                  <w:vAlign w:val="center"/>
                </w:tcPr>
                <w:p w14:paraId="3DD4DA3C" w14:textId="77777777" w:rsidR="00D64E14" w:rsidRPr="003934F9" w:rsidRDefault="00D64E14" w:rsidP="00EF3CAC">
                  <w:pPr>
                    <w:spacing w:after="0"/>
                    <w:jc w:val="both"/>
                    <w:rPr>
                      <w:color w:val="000000"/>
                      <w:sz w:val="20"/>
                      <w:lang w:eastAsia="es-MX"/>
                    </w:rPr>
                  </w:pPr>
                  <w:r w:rsidRPr="003934F9">
                    <w:rPr>
                      <w:color w:val="000000"/>
                      <w:sz w:val="20"/>
                      <w:lang w:eastAsia="es-MX"/>
                    </w:rPr>
                    <w:t>H. Ayuntamiento de Zapopan, Administración 2024-2027.</w:t>
                  </w:r>
                </w:p>
              </w:tc>
            </w:tr>
            <w:tr w:rsidR="00D64E14" w:rsidRPr="00B408BA" w14:paraId="40F114D1" w14:textId="77777777" w:rsidTr="00EF3CAC">
              <w:trPr>
                <w:trHeight w:val="261"/>
              </w:trPr>
              <w:tc>
                <w:tcPr>
                  <w:tcW w:w="1489" w:type="pct"/>
                  <w:tcBorders>
                    <w:top w:val="nil"/>
                    <w:left w:val="single" w:sz="6" w:space="0" w:color="auto"/>
                    <w:bottom w:val="single" w:sz="6" w:space="0" w:color="auto"/>
                    <w:right w:val="single" w:sz="6" w:space="0" w:color="auto"/>
                  </w:tcBorders>
                  <w:vAlign w:val="center"/>
                </w:tcPr>
                <w:p w14:paraId="0800F907" w14:textId="77777777" w:rsidR="00D64E14" w:rsidRPr="00B408BA" w:rsidRDefault="00D64E14" w:rsidP="00EF3CAC">
                  <w:pPr>
                    <w:spacing w:after="0"/>
                    <w:jc w:val="both"/>
                    <w:rPr>
                      <w:color w:val="000000"/>
                      <w:sz w:val="20"/>
                      <w:lang w:eastAsia="es-MX"/>
                    </w:rPr>
                  </w:pPr>
                  <w:r w:rsidRPr="00B408BA">
                    <w:rPr>
                      <w:color w:val="000000"/>
                      <w:sz w:val="20"/>
                      <w:lang w:eastAsia="es-MX"/>
                    </w:rPr>
                    <w:t>Fecha de contratación</w:t>
                  </w:r>
                </w:p>
              </w:tc>
              <w:tc>
                <w:tcPr>
                  <w:tcW w:w="3511" w:type="pct"/>
                  <w:tcBorders>
                    <w:top w:val="nil"/>
                    <w:left w:val="nil"/>
                    <w:bottom w:val="single" w:sz="6" w:space="0" w:color="auto"/>
                    <w:right w:val="single" w:sz="6" w:space="0" w:color="auto"/>
                  </w:tcBorders>
                  <w:vAlign w:val="center"/>
                </w:tcPr>
                <w:p w14:paraId="285E33AC" w14:textId="77777777" w:rsidR="00D64E14" w:rsidRPr="003934F9" w:rsidRDefault="00D64E14" w:rsidP="00EF3CAC">
                  <w:pPr>
                    <w:spacing w:after="0"/>
                    <w:jc w:val="both"/>
                    <w:rPr>
                      <w:color w:val="000000"/>
                      <w:sz w:val="20"/>
                      <w:lang w:eastAsia="es-MX"/>
                    </w:rPr>
                  </w:pPr>
                  <w:r w:rsidRPr="003934F9">
                    <w:rPr>
                      <w:color w:val="000000"/>
                      <w:sz w:val="20"/>
                      <w:lang w:eastAsia="es-MX"/>
                    </w:rPr>
                    <w:t>04 de diciembre del 2019, con plazos de disposición hasta de 12 meses</w:t>
                  </w:r>
                </w:p>
              </w:tc>
            </w:tr>
            <w:tr w:rsidR="00D64E14" w:rsidRPr="00B408BA" w14:paraId="2063764A" w14:textId="77777777" w:rsidTr="00EF3CAC">
              <w:trPr>
                <w:trHeight w:val="277"/>
              </w:trPr>
              <w:tc>
                <w:tcPr>
                  <w:tcW w:w="1489" w:type="pct"/>
                  <w:tcBorders>
                    <w:top w:val="nil"/>
                    <w:left w:val="single" w:sz="6" w:space="0" w:color="auto"/>
                    <w:bottom w:val="single" w:sz="6" w:space="0" w:color="auto"/>
                    <w:right w:val="single" w:sz="6" w:space="0" w:color="auto"/>
                  </w:tcBorders>
                  <w:vAlign w:val="center"/>
                </w:tcPr>
                <w:p w14:paraId="7BB86CC4" w14:textId="77777777" w:rsidR="00D64E14" w:rsidRPr="00B408BA" w:rsidRDefault="00D64E14" w:rsidP="00EF3CAC">
                  <w:pPr>
                    <w:spacing w:after="0"/>
                    <w:jc w:val="both"/>
                    <w:rPr>
                      <w:color w:val="000000"/>
                      <w:sz w:val="20"/>
                      <w:lang w:eastAsia="es-MX"/>
                    </w:rPr>
                  </w:pPr>
                  <w:r w:rsidRPr="00B408BA">
                    <w:rPr>
                      <w:color w:val="000000"/>
                      <w:sz w:val="20"/>
                      <w:lang w:eastAsia="es-MX"/>
                    </w:rPr>
                    <w:t>Monto del crédito</w:t>
                  </w:r>
                </w:p>
              </w:tc>
              <w:tc>
                <w:tcPr>
                  <w:tcW w:w="3511" w:type="pct"/>
                  <w:tcBorders>
                    <w:top w:val="nil"/>
                    <w:left w:val="nil"/>
                    <w:bottom w:val="single" w:sz="6" w:space="0" w:color="auto"/>
                    <w:right w:val="single" w:sz="6" w:space="0" w:color="auto"/>
                  </w:tcBorders>
                  <w:vAlign w:val="center"/>
                </w:tcPr>
                <w:p w14:paraId="6D31890C" w14:textId="77777777" w:rsidR="00D64E14" w:rsidRPr="003934F9" w:rsidRDefault="00D64E14" w:rsidP="00EF3CAC">
                  <w:pPr>
                    <w:spacing w:after="0"/>
                    <w:jc w:val="both"/>
                    <w:rPr>
                      <w:color w:val="000000"/>
                      <w:sz w:val="20"/>
                      <w:lang w:eastAsia="es-MX"/>
                    </w:rPr>
                  </w:pPr>
                  <w:r w:rsidRPr="003934F9">
                    <w:rPr>
                      <w:color w:val="000000"/>
                      <w:sz w:val="20"/>
                      <w:lang w:eastAsia="es-MX"/>
                    </w:rPr>
                    <w:t xml:space="preserve">Hasta $300,000,000.00 (Trescientos millones de pesos 007100 Moneda Nacional) </w:t>
                  </w:r>
                </w:p>
              </w:tc>
            </w:tr>
            <w:tr w:rsidR="00D64E14" w:rsidRPr="00B408BA" w14:paraId="394BF37F" w14:textId="77777777" w:rsidTr="00EF3CAC">
              <w:trPr>
                <w:trHeight w:val="277"/>
              </w:trPr>
              <w:tc>
                <w:tcPr>
                  <w:tcW w:w="1489" w:type="pct"/>
                  <w:tcBorders>
                    <w:top w:val="nil"/>
                    <w:left w:val="single" w:sz="6" w:space="0" w:color="auto"/>
                    <w:bottom w:val="single" w:sz="6" w:space="0" w:color="auto"/>
                    <w:right w:val="single" w:sz="6" w:space="0" w:color="auto"/>
                  </w:tcBorders>
                  <w:vAlign w:val="center"/>
                </w:tcPr>
                <w:p w14:paraId="22BDC223" w14:textId="77777777" w:rsidR="00D64E14" w:rsidRPr="00B408BA" w:rsidRDefault="00D64E14" w:rsidP="00EF3CAC">
                  <w:pPr>
                    <w:spacing w:after="0"/>
                    <w:jc w:val="both"/>
                    <w:rPr>
                      <w:color w:val="000000"/>
                      <w:sz w:val="20"/>
                      <w:lang w:eastAsia="es-MX"/>
                    </w:rPr>
                  </w:pPr>
                  <w:r w:rsidRPr="00B408BA">
                    <w:rPr>
                      <w:color w:val="000000"/>
                      <w:sz w:val="20"/>
                      <w:lang w:eastAsia="es-MX"/>
                    </w:rPr>
                    <w:t>Tasa de interés</w:t>
                  </w:r>
                </w:p>
              </w:tc>
              <w:tc>
                <w:tcPr>
                  <w:tcW w:w="3511" w:type="pct"/>
                  <w:tcBorders>
                    <w:top w:val="nil"/>
                    <w:left w:val="nil"/>
                    <w:bottom w:val="single" w:sz="6" w:space="0" w:color="auto"/>
                    <w:right w:val="single" w:sz="6" w:space="0" w:color="auto"/>
                  </w:tcBorders>
                  <w:vAlign w:val="center"/>
                </w:tcPr>
                <w:p w14:paraId="64CD769B" w14:textId="77777777" w:rsidR="00D64E14" w:rsidRPr="003934F9" w:rsidRDefault="00D64E14" w:rsidP="00EF3CAC">
                  <w:pPr>
                    <w:spacing w:after="0"/>
                    <w:jc w:val="both"/>
                    <w:rPr>
                      <w:color w:val="000000"/>
                      <w:sz w:val="20"/>
                      <w:lang w:eastAsia="es-MX"/>
                    </w:rPr>
                  </w:pPr>
                  <w:r w:rsidRPr="003934F9">
                    <w:rPr>
                      <w:color w:val="000000"/>
                      <w:sz w:val="20"/>
                      <w:lang w:eastAsia="es-MX"/>
                    </w:rPr>
                    <w:t>Tasa variable TIIE + 1.31 puntos porcentuales sin comisión por apertura</w:t>
                  </w:r>
                </w:p>
              </w:tc>
            </w:tr>
            <w:tr w:rsidR="00D64E14" w:rsidRPr="00B408BA" w14:paraId="628649FE" w14:textId="77777777" w:rsidTr="00EF3CAC">
              <w:trPr>
                <w:trHeight w:val="292"/>
              </w:trPr>
              <w:tc>
                <w:tcPr>
                  <w:tcW w:w="1489" w:type="pct"/>
                  <w:tcBorders>
                    <w:top w:val="nil"/>
                    <w:left w:val="single" w:sz="6" w:space="0" w:color="auto"/>
                    <w:bottom w:val="single" w:sz="6" w:space="0" w:color="auto"/>
                    <w:right w:val="single" w:sz="6" w:space="0" w:color="auto"/>
                  </w:tcBorders>
                  <w:vAlign w:val="center"/>
                </w:tcPr>
                <w:p w14:paraId="31C92B26" w14:textId="77777777" w:rsidR="00D64E14" w:rsidRPr="00B408BA" w:rsidRDefault="00D64E14" w:rsidP="00EF3CAC">
                  <w:pPr>
                    <w:spacing w:after="0"/>
                    <w:jc w:val="both"/>
                    <w:rPr>
                      <w:color w:val="000000"/>
                      <w:sz w:val="20"/>
                      <w:lang w:eastAsia="es-MX"/>
                    </w:rPr>
                  </w:pPr>
                  <w:r w:rsidRPr="00B408BA">
                    <w:rPr>
                      <w:color w:val="000000"/>
                      <w:sz w:val="20"/>
                      <w:lang w:eastAsia="es-MX"/>
                    </w:rPr>
                    <w:t>Monto total amortizable</w:t>
                  </w:r>
                </w:p>
              </w:tc>
              <w:tc>
                <w:tcPr>
                  <w:tcW w:w="3511" w:type="pct"/>
                  <w:tcBorders>
                    <w:top w:val="nil"/>
                    <w:left w:val="nil"/>
                    <w:bottom w:val="single" w:sz="6" w:space="0" w:color="auto"/>
                    <w:right w:val="single" w:sz="6" w:space="0" w:color="auto"/>
                  </w:tcBorders>
                  <w:vAlign w:val="center"/>
                </w:tcPr>
                <w:p w14:paraId="0D892CBF" w14:textId="77777777" w:rsidR="00D64E14" w:rsidRPr="00B408BA" w:rsidRDefault="00D64E14" w:rsidP="00EF3CAC">
                  <w:pPr>
                    <w:spacing w:after="0"/>
                    <w:jc w:val="both"/>
                    <w:rPr>
                      <w:color w:val="000000"/>
                      <w:sz w:val="20"/>
                      <w:lang w:eastAsia="es-MX"/>
                    </w:rPr>
                  </w:pPr>
                  <w:r w:rsidRPr="00B408BA">
                    <w:rPr>
                      <w:color w:val="000000"/>
                      <w:sz w:val="20"/>
                      <w:lang w:eastAsia="es-MX"/>
                    </w:rPr>
                    <w:t xml:space="preserve">Aplicado a un plazo de amortización máximo del crédito </w:t>
                  </w:r>
                </w:p>
              </w:tc>
            </w:tr>
            <w:tr w:rsidR="00D64E14" w:rsidRPr="00B408BA" w14:paraId="363010BD" w14:textId="77777777" w:rsidTr="00EF3CAC">
              <w:trPr>
                <w:trHeight w:val="277"/>
              </w:trPr>
              <w:tc>
                <w:tcPr>
                  <w:tcW w:w="1489" w:type="pct"/>
                  <w:tcBorders>
                    <w:top w:val="nil"/>
                    <w:left w:val="single" w:sz="6" w:space="0" w:color="auto"/>
                    <w:bottom w:val="single" w:sz="6" w:space="0" w:color="auto"/>
                    <w:right w:val="single" w:sz="6" w:space="0" w:color="auto"/>
                  </w:tcBorders>
                  <w:vAlign w:val="center"/>
                </w:tcPr>
                <w:p w14:paraId="54D16E5D" w14:textId="77777777" w:rsidR="00D64E14" w:rsidRPr="00B408BA" w:rsidRDefault="00D64E14" w:rsidP="00EF3CAC">
                  <w:pPr>
                    <w:spacing w:after="0"/>
                    <w:jc w:val="both"/>
                    <w:rPr>
                      <w:color w:val="000000"/>
                      <w:sz w:val="20"/>
                      <w:lang w:eastAsia="es-MX"/>
                    </w:rPr>
                  </w:pPr>
                  <w:r w:rsidRPr="00B408BA">
                    <w:rPr>
                      <w:color w:val="000000"/>
                      <w:sz w:val="20"/>
                      <w:lang w:eastAsia="es-MX"/>
                    </w:rPr>
                    <w:t>Plazo de vencimiento</w:t>
                  </w:r>
                </w:p>
              </w:tc>
              <w:tc>
                <w:tcPr>
                  <w:tcW w:w="3511" w:type="pct"/>
                  <w:tcBorders>
                    <w:top w:val="nil"/>
                    <w:left w:val="nil"/>
                    <w:bottom w:val="single" w:sz="6" w:space="0" w:color="auto"/>
                    <w:right w:val="single" w:sz="6" w:space="0" w:color="auto"/>
                  </w:tcBorders>
                  <w:vAlign w:val="center"/>
                </w:tcPr>
                <w:p w14:paraId="0183BE81" w14:textId="77777777" w:rsidR="00D64E14" w:rsidRPr="00B408BA" w:rsidRDefault="00D64E14" w:rsidP="00EF3CAC">
                  <w:pPr>
                    <w:spacing w:after="0"/>
                    <w:jc w:val="both"/>
                    <w:rPr>
                      <w:color w:val="000000"/>
                      <w:sz w:val="20"/>
                      <w:lang w:eastAsia="es-MX"/>
                    </w:rPr>
                  </w:pPr>
                  <w:r w:rsidRPr="00B408BA">
                    <w:rPr>
                      <w:color w:val="000000"/>
                      <w:sz w:val="20"/>
                      <w:lang w:eastAsia="es-MX"/>
                    </w:rPr>
                    <w:t>180 meses</w:t>
                  </w:r>
                </w:p>
              </w:tc>
            </w:tr>
            <w:tr w:rsidR="00D64E14" w:rsidRPr="00B408BA" w14:paraId="41484E27" w14:textId="77777777" w:rsidTr="00EF3CAC">
              <w:trPr>
                <w:trHeight w:val="292"/>
              </w:trPr>
              <w:tc>
                <w:tcPr>
                  <w:tcW w:w="1489" w:type="pct"/>
                  <w:tcBorders>
                    <w:top w:val="nil"/>
                    <w:left w:val="single" w:sz="6" w:space="0" w:color="auto"/>
                    <w:bottom w:val="single" w:sz="6" w:space="0" w:color="auto"/>
                    <w:right w:val="single" w:sz="6" w:space="0" w:color="auto"/>
                  </w:tcBorders>
                  <w:vAlign w:val="center"/>
                </w:tcPr>
                <w:p w14:paraId="6CFEED23" w14:textId="77777777" w:rsidR="00D64E14" w:rsidRPr="00B408BA" w:rsidRDefault="00D64E14" w:rsidP="00EF3CAC">
                  <w:pPr>
                    <w:spacing w:after="0"/>
                    <w:jc w:val="both"/>
                    <w:rPr>
                      <w:color w:val="000000"/>
                      <w:sz w:val="20"/>
                      <w:lang w:eastAsia="es-MX"/>
                    </w:rPr>
                  </w:pPr>
                  <w:r w:rsidRPr="00B408BA">
                    <w:rPr>
                      <w:color w:val="000000"/>
                      <w:sz w:val="20"/>
                      <w:lang w:eastAsia="es-MX"/>
                    </w:rPr>
                    <w:t>Institución crediticia</w:t>
                  </w:r>
                </w:p>
              </w:tc>
              <w:tc>
                <w:tcPr>
                  <w:tcW w:w="3511" w:type="pct"/>
                  <w:tcBorders>
                    <w:top w:val="nil"/>
                    <w:left w:val="nil"/>
                    <w:bottom w:val="single" w:sz="6" w:space="0" w:color="auto"/>
                    <w:right w:val="single" w:sz="6" w:space="0" w:color="auto"/>
                  </w:tcBorders>
                  <w:vAlign w:val="center"/>
                </w:tcPr>
                <w:p w14:paraId="0ADC5227" w14:textId="77777777" w:rsidR="00D64E14" w:rsidRPr="00B408BA" w:rsidRDefault="00D64E14" w:rsidP="00EF3CAC">
                  <w:pPr>
                    <w:spacing w:after="0"/>
                    <w:jc w:val="both"/>
                    <w:rPr>
                      <w:color w:val="000000"/>
                      <w:sz w:val="20"/>
                      <w:lang w:eastAsia="es-MX"/>
                    </w:rPr>
                  </w:pPr>
                  <w:r w:rsidRPr="00B408BA">
                    <w:rPr>
                      <w:color w:val="000000"/>
                      <w:sz w:val="20"/>
                      <w:lang w:eastAsia="es-MX"/>
                    </w:rPr>
                    <w:t>Banco Nacional de Obras y Servicios Públicos S.N.C. (BANOBRAS),</w:t>
                  </w:r>
                </w:p>
              </w:tc>
            </w:tr>
            <w:tr w:rsidR="00D64E14" w:rsidRPr="00B408BA" w14:paraId="28AF7B8C" w14:textId="77777777" w:rsidTr="00EF3CAC">
              <w:trPr>
                <w:trHeight w:val="1152"/>
              </w:trPr>
              <w:tc>
                <w:tcPr>
                  <w:tcW w:w="1489" w:type="pct"/>
                  <w:tcBorders>
                    <w:top w:val="nil"/>
                    <w:left w:val="single" w:sz="6" w:space="0" w:color="auto"/>
                    <w:bottom w:val="single" w:sz="6" w:space="0" w:color="auto"/>
                    <w:right w:val="single" w:sz="6" w:space="0" w:color="auto"/>
                  </w:tcBorders>
                  <w:vAlign w:val="center"/>
                </w:tcPr>
                <w:p w14:paraId="0DEAF98D" w14:textId="77777777" w:rsidR="00D64E14" w:rsidRPr="00B408BA" w:rsidRDefault="00D64E14" w:rsidP="00EF3CAC">
                  <w:pPr>
                    <w:spacing w:after="0"/>
                    <w:jc w:val="both"/>
                    <w:rPr>
                      <w:color w:val="000000"/>
                      <w:sz w:val="20"/>
                      <w:lang w:eastAsia="es-MX"/>
                    </w:rPr>
                  </w:pPr>
                  <w:r w:rsidRPr="00B408BA">
                    <w:rPr>
                      <w:color w:val="000000"/>
                      <w:sz w:val="20"/>
                      <w:lang w:eastAsia="es-MX"/>
                    </w:rPr>
                    <w:t>Objeto de aplicación</w:t>
                  </w:r>
                </w:p>
              </w:tc>
              <w:tc>
                <w:tcPr>
                  <w:tcW w:w="3511" w:type="pct"/>
                  <w:tcBorders>
                    <w:top w:val="nil"/>
                    <w:left w:val="nil"/>
                    <w:bottom w:val="single" w:sz="6" w:space="0" w:color="auto"/>
                    <w:right w:val="single" w:sz="6" w:space="0" w:color="auto"/>
                  </w:tcBorders>
                  <w:vAlign w:val="center"/>
                </w:tcPr>
                <w:p w14:paraId="0A743F5D" w14:textId="77777777" w:rsidR="00D64E14" w:rsidRPr="00B408BA" w:rsidRDefault="00D64E14" w:rsidP="00EF3CAC">
                  <w:pPr>
                    <w:spacing w:after="0"/>
                    <w:jc w:val="both"/>
                    <w:rPr>
                      <w:color w:val="000000"/>
                      <w:sz w:val="20"/>
                      <w:lang w:eastAsia="es-MX"/>
                    </w:rPr>
                  </w:pPr>
                  <w:r w:rsidRPr="00B408BA">
                    <w:rPr>
                      <w:color w:val="000000"/>
                      <w:sz w:val="20"/>
                      <w:lang w:eastAsia="es-MX"/>
                    </w:rPr>
                    <w:t>Contratación de un crédito simple hasta por la cantidad de $300’000,000.00 (trescientos millones de pesos 00/100 m.n.), con el Banco Nacional de Obras y Servicios Públicos S.N.C. (BANOBRAS), para ser utilizados en proyectos de inversión pública productiva.</w:t>
                  </w:r>
                </w:p>
              </w:tc>
            </w:tr>
            <w:tr w:rsidR="00D64E14" w:rsidRPr="00B408BA" w14:paraId="38176610" w14:textId="77777777" w:rsidTr="00EF3CAC">
              <w:trPr>
                <w:trHeight w:val="277"/>
              </w:trPr>
              <w:tc>
                <w:tcPr>
                  <w:tcW w:w="1489" w:type="pct"/>
                  <w:tcBorders>
                    <w:top w:val="single" w:sz="6" w:space="0" w:color="auto"/>
                    <w:left w:val="single" w:sz="6" w:space="0" w:color="auto"/>
                    <w:bottom w:val="single" w:sz="4" w:space="0" w:color="auto"/>
                    <w:right w:val="single" w:sz="6" w:space="0" w:color="auto"/>
                  </w:tcBorders>
                  <w:vAlign w:val="center"/>
                </w:tcPr>
                <w:p w14:paraId="6F237C81" w14:textId="4E7B5DE8" w:rsidR="00D64E14" w:rsidRPr="00B408BA" w:rsidRDefault="00D64E14" w:rsidP="00EF3CAC">
                  <w:pPr>
                    <w:spacing w:after="0"/>
                    <w:jc w:val="both"/>
                    <w:rPr>
                      <w:bCs/>
                      <w:color w:val="000000"/>
                      <w:sz w:val="20"/>
                      <w:lang w:eastAsia="es-MX"/>
                    </w:rPr>
                  </w:pPr>
                  <w:r w:rsidRPr="00B408BA">
                    <w:rPr>
                      <w:bCs/>
                      <w:color w:val="000000"/>
                      <w:sz w:val="20"/>
                      <w:lang w:eastAsia="es-MX"/>
                    </w:rPr>
                    <w:t xml:space="preserve">Saldo al </w:t>
                  </w:r>
                  <w:r w:rsidR="00EB2754">
                    <w:rPr>
                      <w:bCs/>
                      <w:color w:val="000000"/>
                      <w:sz w:val="20"/>
                      <w:lang w:eastAsia="es-MX"/>
                    </w:rPr>
                    <w:t xml:space="preserve">31 de </w:t>
                  </w:r>
                  <w:proofErr w:type="gramStart"/>
                  <w:r w:rsidR="00EB2754">
                    <w:rPr>
                      <w:bCs/>
                      <w:color w:val="000000"/>
                      <w:sz w:val="20"/>
                      <w:lang w:eastAsia="es-MX"/>
                    </w:rPr>
                    <w:t>diciembre</w:t>
                  </w:r>
                  <w:r w:rsidRPr="00B408BA">
                    <w:rPr>
                      <w:bCs/>
                      <w:color w:val="000000"/>
                      <w:sz w:val="20"/>
                      <w:lang w:eastAsia="es-MX"/>
                    </w:rPr>
                    <w:t xml:space="preserve">  2025</w:t>
                  </w:r>
                  <w:proofErr w:type="gramEnd"/>
                </w:p>
              </w:tc>
              <w:tc>
                <w:tcPr>
                  <w:tcW w:w="3511" w:type="pct"/>
                  <w:tcBorders>
                    <w:top w:val="single" w:sz="6" w:space="0" w:color="auto"/>
                    <w:left w:val="nil"/>
                    <w:bottom w:val="single" w:sz="4" w:space="0" w:color="auto"/>
                    <w:right w:val="single" w:sz="6" w:space="0" w:color="auto"/>
                  </w:tcBorders>
                  <w:shd w:val="clear" w:color="auto" w:fill="auto"/>
                  <w:vAlign w:val="center"/>
                </w:tcPr>
                <w:p w14:paraId="3F6C481D" w14:textId="17277E80" w:rsidR="00D64E14" w:rsidRPr="00B408BA" w:rsidRDefault="00806DF0" w:rsidP="00EF3CAC">
                  <w:pPr>
                    <w:spacing w:after="0"/>
                    <w:jc w:val="both"/>
                    <w:rPr>
                      <w:bCs/>
                      <w:color w:val="000000"/>
                      <w:sz w:val="20"/>
                      <w:lang w:eastAsia="es-MX"/>
                    </w:rPr>
                  </w:pPr>
                  <w:r>
                    <w:rPr>
                      <w:sz w:val="20"/>
                    </w:rPr>
                    <w:t>255,153,431.77</w:t>
                  </w:r>
                </w:p>
              </w:tc>
            </w:tr>
          </w:tbl>
          <w:p w14:paraId="74B3525E" w14:textId="77777777" w:rsidR="00D64E14" w:rsidRPr="00B408BA" w:rsidRDefault="00D64E14" w:rsidP="00EF3CAC">
            <w:pPr>
              <w:spacing w:after="0"/>
              <w:jc w:val="both"/>
              <w:rPr>
                <w:color w:val="000000"/>
                <w:lang w:eastAsia="es-MX"/>
              </w:rPr>
            </w:pPr>
          </w:p>
          <w:p w14:paraId="0C540F8B" w14:textId="77777777" w:rsidR="00806DF0" w:rsidRPr="00B408BA" w:rsidRDefault="00806DF0" w:rsidP="00EF3CAC">
            <w:pPr>
              <w:spacing w:after="0"/>
              <w:jc w:val="both"/>
              <w:rPr>
                <w:color w:val="000000"/>
                <w:lang w:eastAsia="es-MX"/>
              </w:rPr>
            </w:pPr>
          </w:p>
          <w:p w14:paraId="4B304F2D" w14:textId="77777777" w:rsidR="00D64E14" w:rsidRPr="00B408BA" w:rsidRDefault="00D64E14" w:rsidP="00D64E14">
            <w:pPr>
              <w:pStyle w:val="Subttulo"/>
              <w:numPr>
                <w:ilvl w:val="0"/>
                <w:numId w:val="6"/>
              </w:numPr>
              <w:spacing w:after="0"/>
              <w:rPr>
                <w:rStyle w:val="nfasissutil"/>
              </w:rPr>
            </w:pPr>
            <w:r w:rsidRPr="00B408BA">
              <w:rPr>
                <w:rStyle w:val="nfasissutil"/>
              </w:rPr>
              <w:t>Calificaciones Otorgadas:</w:t>
            </w:r>
          </w:p>
          <w:p w14:paraId="175A43EC" w14:textId="77777777" w:rsidR="00D64E14" w:rsidRPr="00B408BA" w:rsidRDefault="00D64E14" w:rsidP="00EF3CAC"/>
          <w:p w14:paraId="7CEC6EA7" w14:textId="77777777" w:rsidR="00D64E14" w:rsidRDefault="00D64E14" w:rsidP="00EF3CAC">
            <w:pPr>
              <w:spacing w:after="0" w:line="360" w:lineRule="auto"/>
              <w:jc w:val="both"/>
              <w:rPr>
                <w:lang w:eastAsia="es-MX"/>
              </w:rPr>
            </w:pPr>
            <w:r w:rsidRPr="00B408BA">
              <w:rPr>
                <w:lang w:eastAsia="es-MX"/>
              </w:rPr>
              <w:t>El Municipio de Zapopan figura entre los Municipios mejor calificados del país, por su alta recaudación de ingresos propios, como lo reflejan las calificaciones otorgadas por las agencias calificadoras, mismas que emitieron al Municipio de Zapopan de acuerdo a las siguientes calificadoras: Fitch Ratings, otorgó la calificación de BBB-/</w:t>
            </w:r>
            <w:proofErr w:type="gramStart"/>
            <w:r w:rsidRPr="00B408BA">
              <w:rPr>
                <w:lang w:eastAsia="es-MX"/>
              </w:rPr>
              <w:t>AAA(</w:t>
            </w:r>
            <w:proofErr w:type="spellStart"/>
            <w:proofErr w:type="gramEnd"/>
            <w:r w:rsidRPr="00B408BA">
              <w:rPr>
                <w:lang w:eastAsia="es-MX"/>
              </w:rPr>
              <w:t>mex</w:t>
            </w:r>
            <w:proofErr w:type="spellEnd"/>
            <w:r w:rsidRPr="00B408BA">
              <w:rPr>
                <w:lang w:eastAsia="es-MX"/>
              </w:rPr>
              <w:t>) perspectiva estable</w:t>
            </w:r>
            <w:r w:rsidRPr="00B408BA">
              <w:rPr>
                <w:bCs/>
                <w:lang w:eastAsia="es-MX"/>
              </w:rPr>
              <w:t>, respectivamente</w:t>
            </w:r>
            <w:r w:rsidRPr="00B408BA">
              <w:rPr>
                <w:lang w:eastAsia="es-MX"/>
              </w:rPr>
              <w:t>, al mismo tiempo se afirmó la calificación de deuda de un crédito respaldado perspectiva estable.</w:t>
            </w:r>
          </w:p>
          <w:p w14:paraId="5F34EBDA" w14:textId="77777777" w:rsidR="00806DF0" w:rsidRDefault="00806DF0" w:rsidP="00EF3CAC">
            <w:pPr>
              <w:spacing w:after="0" w:line="360" w:lineRule="auto"/>
              <w:jc w:val="both"/>
              <w:rPr>
                <w:lang w:eastAsia="es-MX"/>
              </w:rPr>
            </w:pPr>
          </w:p>
          <w:p w14:paraId="6407B770" w14:textId="77777777" w:rsidR="00806DF0" w:rsidRDefault="00806DF0" w:rsidP="00EF3CAC">
            <w:pPr>
              <w:spacing w:after="0" w:line="360" w:lineRule="auto"/>
              <w:jc w:val="both"/>
              <w:rPr>
                <w:lang w:eastAsia="es-MX"/>
              </w:rPr>
            </w:pPr>
          </w:p>
          <w:p w14:paraId="270B7685" w14:textId="77777777" w:rsidR="00D64E14" w:rsidRPr="00B408BA" w:rsidRDefault="00D64E14" w:rsidP="00D64E14">
            <w:pPr>
              <w:pStyle w:val="Prrafodelista"/>
              <w:numPr>
                <w:ilvl w:val="0"/>
                <w:numId w:val="6"/>
              </w:numPr>
              <w:spacing w:after="0"/>
              <w:jc w:val="both"/>
              <w:rPr>
                <w:rStyle w:val="nfasissutil"/>
              </w:rPr>
            </w:pPr>
            <w:r w:rsidRPr="00B408BA">
              <w:rPr>
                <w:rStyle w:val="nfasissutil"/>
              </w:rPr>
              <w:t>Proceso de Mejora</w:t>
            </w:r>
          </w:p>
          <w:p w14:paraId="7DCE90F3" w14:textId="77777777" w:rsidR="00D64E14" w:rsidRPr="00B408BA" w:rsidRDefault="00D64E14" w:rsidP="00EF3CAC">
            <w:pPr>
              <w:spacing w:after="0" w:line="360" w:lineRule="auto"/>
              <w:jc w:val="both"/>
              <w:rPr>
                <w:lang w:eastAsia="es-MX"/>
              </w:rPr>
            </w:pPr>
            <w:r w:rsidRPr="00B408BA">
              <w:rPr>
                <w:lang w:eastAsia="es-MX"/>
              </w:rPr>
              <w:t>Actualmente se cuenta con un Sistema de Armonización Contable, con el cual se ha logrado mejorar todos los procesos para el registro y control del presupuesto en sus diferentes etapas presupuestales del Gasto e Ingresos, con la finalidad de continuar dando cumplimiento con los requerimientos de la Ley General de Contabilidad Gubernamental y demás normativas.</w:t>
            </w:r>
          </w:p>
          <w:p w14:paraId="789BB12F" w14:textId="77777777" w:rsidR="00D64E14" w:rsidRPr="00B408BA" w:rsidRDefault="00D64E14" w:rsidP="00EF3CAC">
            <w:pPr>
              <w:spacing w:after="0" w:line="360" w:lineRule="auto"/>
              <w:jc w:val="both"/>
              <w:rPr>
                <w:lang w:eastAsia="es-MX"/>
              </w:rPr>
            </w:pPr>
          </w:p>
          <w:p w14:paraId="07E96278" w14:textId="77777777" w:rsidR="00D64E14" w:rsidRPr="00B408BA" w:rsidRDefault="00D64E14" w:rsidP="00D64E14">
            <w:pPr>
              <w:pStyle w:val="Prrafodelista"/>
              <w:numPr>
                <w:ilvl w:val="0"/>
                <w:numId w:val="6"/>
              </w:numPr>
              <w:spacing w:after="0"/>
              <w:jc w:val="both"/>
              <w:rPr>
                <w:rStyle w:val="nfasissutil"/>
              </w:rPr>
            </w:pPr>
            <w:r w:rsidRPr="00B408BA">
              <w:rPr>
                <w:rStyle w:val="nfasissutil"/>
              </w:rPr>
              <w:t>Información por Segmentos</w:t>
            </w:r>
          </w:p>
          <w:p w14:paraId="1F735BF4" w14:textId="77777777" w:rsidR="00D64E14" w:rsidRPr="00B408BA" w:rsidRDefault="00D64E14" w:rsidP="00EF3CAC">
            <w:pPr>
              <w:spacing w:after="0" w:line="360" w:lineRule="auto"/>
              <w:jc w:val="both"/>
              <w:rPr>
                <w:lang w:eastAsia="es-MX"/>
              </w:rPr>
            </w:pPr>
            <w:r w:rsidRPr="00B408BA">
              <w:rPr>
                <w:lang w:eastAsia="es-MX"/>
              </w:rPr>
              <w:t>No se considera necesario presentar información financiera segmentada, adicional a la que se presenta en los Estados Financieros.</w:t>
            </w:r>
          </w:p>
          <w:p w14:paraId="279B689F" w14:textId="77777777" w:rsidR="00D64E14" w:rsidRPr="00B408BA" w:rsidRDefault="00D64E14" w:rsidP="00EF3CAC">
            <w:pPr>
              <w:spacing w:after="0"/>
              <w:jc w:val="both"/>
              <w:rPr>
                <w:lang w:eastAsia="es-MX"/>
              </w:rPr>
            </w:pPr>
          </w:p>
          <w:p w14:paraId="10097275" w14:textId="77777777" w:rsidR="00D64E14" w:rsidRPr="00B408BA" w:rsidRDefault="00D64E14" w:rsidP="00D64E14">
            <w:pPr>
              <w:pStyle w:val="Prrafodelista"/>
              <w:numPr>
                <w:ilvl w:val="0"/>
                <w:numId w:val="6"/>
              </w:numPr>
              <w:spacing w:after="0"/>
              <w:jc w:val="both"/>
              <w:rPr>
                <w:rStyle w:val="nfasissutil"/>
              </w:rPr>
            </w:pPr>
            <w:r w:rsidRPr="00B408BA">
              <w:rPr>
                <w:rStyle w:val="nfasissutil"/>
              </w:rPr>
              <w:t>Eventos Posteriores al Cierre</w:t>
            </w:r>
          </w:p>
          <w:p w14:paraId="5578AC0C" w14:textId="77777777" w:rsidR="00D64E14" w:rsidRPr="00B408BA" w:rsidRDefault="00D64E14" w:rsidP="00EF3CAC">
            <w:pPr>
              <w:spacing w:after="0" w:line="360" w:lineRule="auto"/>
              <w:jc w:val="both"/>
              <w:rPr>
                <w:lang w:eastAsia="es-MX"/>
              </w:rPr>
            </w:pPr>
            <w:r w:rsidRPr="00B408BA">
              <w:rPr>
                <w:lang w:eastAsia="es-MX"/>
              </w:rPr>
              <w:t xml:space="preserve">No se tiene eventos posteriores al cierre que influyan o impacten en la toma de decisiones financieras y operativas.  </w:t>
            </w:r>
          </w:p>
          <w:p w14:paraId="116D3562" w14:textId="77777777" w:rsidR="00D64E14" w:rsidRPr="00B408BA" w:rsidRDefault="00D64E14" w:rsidP="00EF3CAC">
            <w:pPr>
              <w:spacing w:after="0"/>
              <w:jc w:val="both"/>
              <w:rPr>
                <w:bCs/>
                <w:lang w:eastAsia="es-MX"/>
              </w:rPr>
            </w:pPr>
          </w:p>
          <w:p w14:paraId="25A5AF18" w14:textId="77777777" w:rsidR="00D64E14" w:rsidRPr="00B408BA" w:rsidRDefault="00D64E14" w:rsidP="00D64E14">
            <w:pPr>
              <w:pStyle w:val="Prrafodelista"/>
              <w:numPr>
                <w:ilvl w:val="0"/>
                <w:numId w:val="6"/>
              </w:numPr>
              <w:spacing w:after="0"/>
              <w:jc w:val="both"/>
              <w:rPr>
                <w:rStyle w:val="nfasissutil"/>
              </w:rPr>
            </w:pPr>
            <w:r w:rsidRPr="00B408BA">
              <w:rPr>
                <w:rStyle w:val="nfasissutil"/>
              </w:rPr>
              <w:t>Partes Relacionadas</w:t>
            </w:r>
          </w:p>
          <w:p w14:paraId="603AF1ED" w14:textId="77777777" w:rsidR="00D64E14" w:rsidRPr="00B408BA" w:rsidRDefault="00D64E14" w:rsidP="00EF3CAC">
            <w:pPr>
              <w:spacing w:after="0" w:line="360" w:lineRule="auto"/>
              <w:jc w:val="both"/>
              <w:rPr>
                <w:lang w:eastAsia="es-MX"/>
              </w:rPr>
            </w:pPr>
            <w:r w:rsidRPr="00B408BA">
              <w:rPr>
                <w:lang w:eastAsia="es-MX"/>
              </w:rPr>
              <w:t>No se tiene partes relacionadas que influyan significativamente en su toma de decisiones operativas y financieras.</w:t>
            </w:r>
          </w:p>
          <w:p w14:paraId="505FF281" w14:textId="77777777" w:rsidR="00D64E14" w:rsidRPr="00B408BA" w:rsidRDefault="00D64E14" w:rsidP="00EF3CAC">
            <w:pPr>
              <w:spacing w:after="0"/>
              <w:jc w:val="both"/>
              <w:rPr>
                <w:lang w:eastAsia="es-MX"/>
              </w:rPr>
            </w:pPr>
          </w:p>
          <w:p w14:paraId="0BE71DCD" w14:textId="77777777" w:rsidR="00D64E14" w:rsidRPr="00B408BA" w:rsidRDefault="00D64E14" w:rsidP="00D64E14">
            <w:pPr>
              <w:pStyle w:val="Prrafodelista"/>
              <w:numPr>
                <w:ilvl w:val="0"/>
                <w:numId w:val="6"/>
              </w:numPr>
              <w:spacing w:after="0"/>
              <w:jc w:val="both"/>
              <w:rPr>
                <w:rStyle w:val="nfasissutil"/>
              </w:rPr>
            </w:pPr>
            <w:r w:rsidRPr="00B408BA">
              <w:rPr>
                <w:rStyle w:val="nfasissutil"/>
              </w:rPr>
              <w:t>Responsabilidad Sobre la Presentación Razonable de la Información Contable:</w:t>
            </w:r>
          </w:p>
          <w:p w14:paraId="3C6EFA45" w14:textId="77777777" w:rsidR="00D64E14" w:rsidRPr="00B408BA" w:rsidRDefault="00D64E14" w:rsidP="00EF3CAC">
            <w:pPr>
              <w:spacing w:after="0" w:line="360" w:lineRule="auto"/>
              <w:jc w:val="both"/>
              <w:rPr>
                <w:lang w:eastAsia="es-MX"/>
              </w:rPr>
            </w:pPr>
            <w:r w:rsidRPr="00B408BA">
              <w:rPr>
                <w:lang w:eastAsia="es-MX"/>
              </w:rPr>
              <w:t>Bajo protesta de decir verdad declaramos que los Estados Financieros y sus notas, son razonablemente correctos y son responsabilidad del emisor.</w:t>
            </w:r>
          </w:p>
          <w:p w14:paraId="0883F6C5" w14:textId="77777777" w:rsidR="00D64E14" w:rsidRPr="00B408BA" w:rsidRDefault="00D64E14" w:rsidP="00EF3CAC">
            <w:pPr>
              <w:spacing w:after="0"/>
              <w:jc w:val="both"/>
              <w:rPr>
                <w:lang w:eastAsia="es-MX"/>
              </w:rPr>
            </w:pPr>
          </w:p>
          <w:p w14:paraId="499EA4E7" w14:textId="47B0CA32" w:rsidR="00D64E14" w:rsidRPr="00B408BA" w:rsidRDefault="00D64E14" w:rsidP="00EF3CAC">
            <w:pPr>
              <w:spacing w:after="0" w:line="360" w:lineRule="auto"/>
              <w:jc w:val="both"/>
              <w:rPr>
                <w:lang w:eastAsia="es-MX"/>
              </w:rPr>
            </w:pPr>
            <w:r w:rsidRPr="00B408BA">
              <w:rPr>
                <w:lang w:eastAsia="es-MX"/>
              </w:rPr>
              <w:t xml:space="preserve">Las Notas descritas son parte integral de los Estados Financieros del Municipio de Zapopan, Jal., al </w:t>
            </w:r>
            <w:r w:rsidR="00806DF0">
              <w:rPr>
                <w:lang w:eastAsia="es-MX"/>
              </w:rPr>
              <w:t>31 de diciembre 202</w:t>
            </w:r>
            <w:r w:rsidRPr="00B408BA">
              <w:rPr>
                <w:lang w:eastAsia="es-MX"/>
              </w:rPr>
              <w:t>5.</w:t>
            </w:r>
          </w:p>
        </w:tc>
      </w:tr>
      <w:tr w:rsidR="00D64E14" w:rsidRPr="00B408BA" w14:paraId="427A37E1" w14:textId="77777777" w:rsidTr="00EF3CAC">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2" w:type="pct"/>
        </w:trPr>
        <w:tc>
          <w:tcPr>
            <w:tcW w:w="2057" w:type="pct"/>
            <w:tcBorders>
              <w:top w:val="single" w:sz="4" w:space="0" w:color="FFFFFF"/>
              <w:left w:val="single" w:sz="4" w:space="0" w:color="FFFFFF"/>
              <w:bottom w:val="single" w:sz="4" w:space="0" w:color="FFFFFF"/>
              <w:right w:val="single" w:sz="4" w:space="0" w:color="FFFFFF"/>
            </w:tcBorders>
          </w:tcPr>
          <w:p w14:paraId="51F3C948" w14:textId="77777777" w:rsidR="00D64E14" w:rsidRPr="00B408BA" w:rsidRDefault="00D64E14" w:rsidP="00EF3CAC">
            <w:pPr>
              <w:spacing w:after="0" w:line="240" w:lineRule="auto"/>
              <w:rPr>
                <w:sz w:val="20"/>
              </w:rPr>
            </w:pPr>
          </w:p>
        </w:tc>
        <w:tc>
          <w:tcPr>
            <w:tcW w:w="693" w:type="pct"/>
            <w:tcBorders>
              <w:top w:val="single" w:sz="4" w:space="0" w:color="FFFFFF"/>
              <w:left w:val="single" w:sz="4" w:space="0" w:color="FFFFFF"/>
              <w:bottom w:val="single" w:sz="4" w:space="0" w:color="FFFFFF"/>
              <w:right w:val="single" w:sz="4" w:space="0" w:color="FFFFFF"/>
            </w:tcBorders>
          </w:tcPr>
          <w:p w14:paraId="107DBC54" w14:textId="77777777" w:rsidR="00D64E14" w:rsidRPr="00B408BA" w:rsidRDefault="00D64E14" w:rsidP="00EF3CAC">
            <w:pPr>
              <w:spacing w:after="0"/>
              <w:jc w:val="both"/>
              <w:rPr>
                <w:sz w:val="20"/>
              </w:rPr>
            </w:pPr>
          </w:p>
        </w:tc>
        <w:tc>
          <w:tcPr>
            <w:tcW w:w="2118" w:type="pct"/>
            <w:tcBorders>
              <w:top w:val="single" w:sz="4" w:space="0" w:color="FFFFFF"/>
              <w:left w:val="single" w:sz="4" w:space="0" w:color="FFFFFF"/>
              <w:bottom w:val="single" w:sz="4" w:space="0" w:color="FFFFFF"/>
              <w:right w:val="single" w:sz="4" w:space="0" w:color="FFFFFF"/>
            </w:tcBorders>
          </w:tcPr>
          <w:p w14:paraId="42AEAEF1" w14:textId="77777777" w:rsidR="00D64E14" w:rsidRPr="00B408BA" w:rsidRDefault="00D64E14" w:rsidP="00EF3CAC">
            <w:pPr>
              <w:spacing w:after="0"/>
              <w:jc w:val="center"/>
              <w:rPr>
                <w:sz w:val="20"/>
              </w:rPr>
            </w:pPr>
            <w:bookmarkStart w:id="2" w:name="firma2"/>
            <w:bookmarkEnd w:id="2"/>
          </w:p>
        </w:tc>
      </w:tr>
    </w:tbl>
    <w:p w14:paraId="7B0992E0" w14:textId="0B73968F" w:rsidR="00A8405F" w:rsidRDefault="00D64E14" w:rsidP="00806DF0">
      <w:pPr>
        <w:jc w:val="both"/>
      </w:pPr>
      <w:bookmarkStart w:id="3" w:name="codigo"/>
      <w:bookmarkEnd w:id="3"/>
      <w:r>
        <w:t xml:space="preserve">Bajo protesta de decir verdad declaramos que los Estados Financieros y sus Notas son razonablemente correctos y responsabilidad del </w:t>
      </w:r>
      <w:r w:rsidR="00806DF0">
        <w:t>emisor.</w:t>
      </w:r>
    </w:p>
    <w:p w14:paraId="224E4253" w14:textId="77777777" w:rsidR="00EB2754" w:rsidRDefault="00EB2754" w:rsidP="00806DF0">
      <w:pPr>
        <w:jc w:val="both"/>
      </w:pPr>
    </w:p>
    <w:p w14:paraId="24706678" w14:textId="5F090258" w:rsidR="00EB2754" w:rsidRDefault="00EB2754" w:rsidP="00806DF0">
      <w:pPr>
        <w:jc w:val="both"/>
      </w:pPr>
    </w:p>
    <w:sectPr w:rsidR="00EB27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C572F"/>
    <w:multiLevelType w:val="hybridMultilevel"/>
    <w:tmpl w:val="E45E7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A8774F"/>
    <w:multiLevelType w:val="hybridMultilevel"/>
    <w:tmpl w:val="699C21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4FE6AB4"/>
    <w:multiLevelType w:val="hybridMultilevel"/>
    <w:tmpl w:val="C97AFD8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C8C28F4"/>
    <w:multiLevelType w:val="hybridMultilevel"/>
    <w:tmpl w:val="B5F4F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F3064E"/>
    <w:multiLevelType w:val="hybridMultilevel"/>
    <w:tmpl w:val="653080C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5D6C4489"/>
    <w:multiLevelType w:val="hybridMultilevel"/>
    <w:tmpl w:val="00FC2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9803AA"/>
    <w:multiLevelType w:val="hybridMultilevel"/>
    <w:tmpl w:val="A3F46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60270424">
    <w:abstractNumId w:val="4"/>
  </w:num>
  <w:num w:numId="2" w16cid:durableId="982781634">
    <w:abstractNumId w:val="5"/>
  </w:num>
  <w:num w:numId="3" w16cid:durableId="875315371">
    <w:abstractNumId w:val="0"/>
  </w:num>
  <w:num w:numId="4" w16cid:durableId="1135876068">
    <w:abstractNumId w:val="2"/>
  </w:num>
  <w:num w:numId="5" w16cid:durableId="1639144839">
    <w:abstractNumId w:val="6"/>
  </w:num>
  <w:num w:numId="6" w16cid:durableId="1774008989">
    <w:abstractNumId w:val="1"/>
  </w:num>
  <w:num w:numId="7" w16cid:durableId="1501501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14"/>
    <w:rsid w:val="000E015F"/>
    <w:rsid w:val="000E765E"/>
    <w:rsid w:val="0011546C"/>
    <w:rsid w:val="001B7DB1"/>
    <w:rsid w:val="0027779E"/>
    <w:rsid w:val="003934F9"/>
    <w:rsid w:val="00517A26"/>
    <w:rsid w:val="005F5715"/>
    <w:rsid w:val="00806DF0"/>
    <w:rsid w:val="008148AA"/>
    <w:rsid w:val="008C4A55"/>
    <w:rsid w:val="00965834"/>
    <w:rsid w:val="009D0317"/>
    <w:rsid w:val="00A8405F"/>
    <w:rsid w:val="00B0169D"/>
    <w:rsid w:val="00B408BA"/>
    <w:rsid w:val="00B67CF7"/>
    <w:rsid w:val="00B9603E"/>
    <w:rsid w:val="00BA0DED"/>
    <w:rsid w:val="00BF3A94"/>
    <w:rsid w:val="00C73C3E"/>
    <w:rsid w:val="00D1714D"/>
    <w:rsid w:val="00D4604F"/>
    <w:rsid w:val="00D57A8F"/>
    <w:rsid w:val="00D64E14"/>
    <w:rsid w:val="00D77A76"/>
    <w:rsid w:val="00E9249F"/>
    <w:rsid w:val="00EB2754"/>
    <w:rsid w:val="00ED694F"/>
    <w:rsid w:val="00EE21AD"/>
    <w:rsid w:val="00F01CC3"/>
    <w:rsid w:val="00F926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4E82"/>
  <w15:chartTrackingRefBased/>
  <w15:docId w15:val="{35455F7F-4120-42D5-8A2F-2BC43CAF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E14"/>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D64E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64E14"/>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D64E14"/>
    <w:pPr>
      <w:spacing w:after="160" w:line="259" w:lineRule="auto"/>
      <w:ind w:left="720"/>
      <w:contextualSpacing/>
    </w:pPr>
  </w:style>
  <w:style w:type="character" w:styleId="Hipervnculo">
    <w:name w:val="Hyperlink"/>
    <w:uiPriority w:val="99"/>
    <w:unhideWhenUsed/>
    <w:rsid w:val="00D64E14"/>
    <w:rPr>
      <w:color w:val="0563C1"/>
      <w:u w:val="single"/>
    </w:rPr>
  </w:style>
  <w:style w:type="paragraph" w:styleId="Subttulo">
    <w:name w:val="Subtitle"/>
    <w:basedOn w:val="Normal"/>
    <w:next w:val="Normal"/>
    <w:link w:val="SubttuloCar"/>
    <w:uiPriority w:val="11"/>
    <w:qFormat/>
    <w:rsid w:val="00D64E1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D64E14"/>
    <w:rPr>
      <w:rFonts w:eastAsiaTheme="minorEastAsia"/>
      <w:color w:val="5A5A5A" w:themeColor="text1" w:themeTint="A5"/>
      <w:spacing w:val="15"/>
    </w:rPr>
  </w:style>
  <w:style w:type="character" w:styleId="nfasissutil">
    <w:name w:val="Subtle Emphasis"/>
    <w:basedOn w:val="Fuentedeprrafopredeter"/>
    <w:uiPriority w:val="19"/>
    <w:qFormat/>
    <w:rsid w:val="00D64E14"/>
    <w:rPr>
      <w:i/>
      <w:iCs/>
      <w:color w:val="404040" w:themeColor="text1" w:themeTint="BF"/>
    </w:rPr>
  </w:style>
  <w:style w:type="character" w:styleId="Referenciasutil">
    <w:name w:val="Subtle Reference"/>
    <w:basedOn w:val="Fuentedeprrafopredeter"/>
    <w:uiPriority w:val="31"/>
    <w:qFormat/>
    <w:rsid w:val="00D64E14"/>
    <w:rPr>
      <w:smallCaps/>
      <w:color w:val="5A5A5A" w:themeColor="text1" w:themeTint="A5"/>
    </w:rPr>
  </w:style>
  <w:style w:type="paragraph" w:styleId="Cita">
    <w:name w:val="Quote"/>
    <w:basedOn w:val="Normal"/>
    <w:next w:val="Normal"/>
    <w:link w:val="CitaCar"/>
    <w:uiPriority w:val="29"/>
    <w:qFormat/>
    <w:rsid w:val="00D64E1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D64E14"/>
    <w:rPr>
      <w:rFonts w:ascii="Calibri" w:eastAsia="Calibri" w:hAnsi="Calibri" w:cs="Times New Roman"/>
      <w:i/>
      <w:iCs/>
      <w:color w:val="404040" w:themeColor="text1" w:themeTint="BF"/>
    </w:rPr>
  </w:style>
  <w:style w:type="character" w:styleId="Textoennegrita">
    <w:name w:val="Strong"/>
    <w:basedOn w:val="Fuentedeprrafopredeter"/>
    <w:uiPriority w:val="22"/>
    <w:qFormat/>
    <w:rsid w:val="00D64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www.zapopan.gob.mx/gobierno/organigrama/"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servicios.zapopan.gob.mx:8000/wwwportal/publicfiles/descargasEnlaces/11-2022/Reglamento%20de%20la%20Administraci%C3%B3n%20P%C3%BAblica%20Municipal%20de%20Zapopan%2C%20Jalisco.pdf" TargetMode="Externa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Ventas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68C-41BA-84C8-2954C0FBB00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68C-41BA-84C8-2954C0FBB003}"/>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68C-41BA-84C8-2954C0FBB003}"/>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68C-41BA-84C8-2954C0FBB003}"/>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768C-41BA-84C8-2954C0FBB003}"/>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768C-41BA-84C8-2954C0FBB003}"/>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768C-41BA-84C8-2954C0FBB003}"/>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768C-41BA-84C8-2954C0FBB003}"/>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768C-41BA-84C8-2954C0FBB003}"/>
              </c:ext>
            </c:extLst>
          </c:dPt>
          <c:dLbls>
            <c:dLbl>
              <c:idx val="0"/>
              <c:layout>
                <c:manualLayout>
                  <c:x val="-8.0829325864468279E-3"/>
                  <c:y val="-0.26441871236683651"/>
                </c:manualLayout>
              </c:layout>
              <c:tx>
                <c:rich>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fld id="{6150E999-3479-4424-9C31-A0A9BEF22E2A}" type="CATEGORYNAME">
                      <a:rPr lang="en-US" b="0" cap="none" spc="0">
                        <a:ln w="0"/>
                        <a:solidFill>
                          <a:schemeClr val="tx1"/>
                        </a:solidFill>
                        <a:effectLst>
                          <a:outerShdw blurRad="38100" dist="19050" dir="2700000" algn="tl" rotWithShape="0">
                            <a:schemeClr val="dk1">
                              <a:alpha val="40000"/>
                            </a:schemeClr>
                          </a:outerShdw>
                        </a:effectLst>
                      </a:rPr>
                      <a:pPr>
                        <a:defRPr b="0" cap="none">
                          <a:ln w="0"/>
                          <a:solidFill>
                            <a:schemeClr val="tx1"/>
                          </a:solidFill>
                          <a:effectLst>
                            <a:outerShdw blurRad="38100" dist="19050" dir="2700000" algn="tl" rotWithShape="0">
                              <a:schemeClr val="dk1">
                                <a:alpha val="40000"/>
                              </a:schemeClr>
                            </a:outerShdw>
                          </a:effectLst>
                        </a:defRPr>
                      </a:pPr>
                      <a:t>[NOMBRE DE CATEGORÍA]</a:t>
                    </a:fld>
                    <a:r>
                      <a:rPr lang="en-US" b="0" cap="none" spc="0" baseline="0">
                        <a:ln w="0"/>
                        <a:solidFill>
                          <a:schemeClr val="tx1"/>
                        </a:solidFill>
                        <a:effectLst>
                          <a:outerShdw blurRad="38100" dist="19050" dir="2700000" algn="tl" rotWithShape="0">
                            <a:schemeClr val="dk1">
                              <a:alpha val="40000"/>
                            </a:schemeClr>
                          </a:outerShdw>
                        </a:effectLst>
                      </a:rPr>
                      <a:t>, $5,838,541.1</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68C-41BA-84C8-2954C0FBB003}"/>
                </c:ext>
              </c:extLst>
            </c:dLbl>
            <c:dLbl>
              <c:idx val="1"/>
              <c:layout>
                <c:manualLayout>
                  <c:x val="0.28294896862724372"/>
                  <c:y val="3.7833322305299968E-2"/>
                </c:manualLayout>
              </c:layout>
              <c:tx>
                <c:rich>
                  <a:bodyPr rot="0" spcFirstLastPara="1" vertOverflow="ellipsis" vert="horz" wrap="square" lIns="38100" tIns="19050" rIns="38100" bIns="19050" anchor="ctr" anchorCtr="1">
                    <a:no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fld id="{196B048D-2AEC-4462-A9C3-BE615DE4E9C3}" type="CATEGORYNAME">
                      <a:rPr lang="en-US" b="0" cap="none" spc="0">
                        <a:ln w="0"/>
                        <a:solidFill>
                          <a:schemeClr val="tx1"/>
                        </a:solidFill>
                        <a:effectLst>
                          <a:outerShdw blurRad="38100" dist="19050" dir="2700000" algn="tl" rotWithShape="0">
                            <a:schemeClr val="dk1">
                              <a:alpha val="40000"/>
                            </a:schemeClr>
                          </a:outerShdw>
                        </a:effectLst>
                      </a:rPr>
                      <a:pPr>
                        <a:defRPr b="0" cap="none">
                          <a:ln w="0"/>
                          <a:solidFill>
                            <a:schemeClr val="tx1"/>
                          </a:solidFill>
                          <a:effectLst>
                            <a:outerShdw blurRad="38100" dist="19050" dir="2700000" algn="tl" rotWithShape="0">
                              <a:schemeClr val="dk1">
                                <a:alpha val="40000"/>
                              </a:schemeClr>
                            </a:outerShdw>
                          </a:effectLst>
                        </a:defRPr>
                      </a:pPr>
                      <a:t>[NOMBRE DE CATEGORÍA]</a:t>
                    </a:fld>
                    <a:r>
                      <a:rPr lang="en-US" b="0" cap="none" spc="0" baseline="0">
                        <a:ln w="0"/>
                        <a:solidFill>
                          <a:schemeClr val="tx1"/>
                        </a:solidFill>
                        <a:effectLst>
                          <a:outerShdw blurRad="38100" dist="19050" dir="2700000" algn="tl" rotWithShape="0">
                            <a:schemeClr val="dk1">
                              <a:alpha val="40000"/>
                            </a:schemeClr>
                          </a:outerShdw>
                        </a:effectLst>
                      </a:rPr>
                      <a:t>, $641,782.8</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layout>
                    <c:manualLayout>
                      <c:w val="0.31599537037037034"/>
                      <c:h val="0.12242726517040732"/>
                    </c:manualLayout>
                  </c15:layout>
                  <c15:dlblFieldTable/>
                  <c15:showDataLabelsRange val="0"/>
                </c:ext>
                <c:ext xmlns:c16="http://schemas.microsoft.com/office/drawing/2014/chart" uri="{C3380CC4-5D6E-409C-BE32-E72D297353CC}">
                  <c16:uniqueId val="{00000003-768C-41BA-84C8-2954C0FBB003}"/>
                </c:ext>
              </c:extLst>
            </c:dLbl>
            <c:dLbl>
              <c:idx val="2"/>
              <c:layout>
                <c:manualLayout>
                  <c:x val="3.1006182951963199E-2"/>
                  <c:y val="7.8378217428703767E-2"/>
                </c:manualLayout>
              </c:layout>
              <c:tx>
                <c:rich>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fld id="{46072DC1-618C-4DFD-8366-AF0CEA118B9D}" type="CATEGORYNAME">
                      <a:rPr lang="en-US" b="0" cap="none" spc="0">
                        <a:ln w="0"/>
                        <a:solidFill>
                          <a:schemeClr val="tx1"/>
                        </a:solidFill>
                        <a:effectLst>
                          <a:outerShdw blurRad="38100" dist="19050" dir="2700000" algn="tl" rotWithShape="0">
                            <a:schemeClr val="dk1">
                              <a:alpha val="40000"/>
                            </a:schemeClr>
                          </a:outerShdw>
                        </a:effectLst>
                      </a:rPr>
                      <a:pPr>
                        <a:defRPr b="0" cap="none">
                          <a:ln w="0"/>
                          <a:solidFill>
                            <a:schemeClr val="tx1"/>
                          </a:solidFill>
                          <a:effectLst>
                            <a:outerShdw blurRad="38100" dist="19050" dir="2700000" algn="tl" rotWithShape="0">
                              <a:schemeClr val="dk1">
                                <a:alpha val="40000"/>
                              </a:schemeClr>
                            </a:outerShdw>
                          </a:effectLst>
                        </a:defRPr>
                      </a:pPr>
                      <a:t>[NOMBRE DE CATEGORÍA]</a:t>
                    </a:fld>
                    <a:r>
                      <a:rPr lang="en-US" b="0" cap="none" spc="0" baseline="0">
                        <a:ln w="0"/>
                        <a:solidFill>
                          <a:schemeClr val="tx1"/>
                        </a:solidFill>
                        <a:effectLst>
                          <a:outerShdw blurRad="38100" dist="19050" dir="2700000" algn="tl" rotWithShape="0">
                            <a:schemeClr val="dk1">
                              <a:alpha val="40000"/>
                            </a:schemeClr>
                          </a:outerShdw>
                        </a:effectLst>
                      </a:rPr>
                      <a:t>, $39.6</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68C-41BA-84C8-2954C0FBB003}"/>
                </c:ext>
              </c:extLst>
            </c:dLbl>
            <c:dLbl>
              <c:idx val="3"/>
              <c:layout>
                <c:manualLayout>
                  <c:x val="-3.7372594050743654E-2"/>
                  <c:y val="-2.6032032778945027E-3"/>
                </c:manualLayout>
              </c:layout>
              <c:tx>
                <c:rich>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fld id="{EDED9A9E-EF5E-4D38-8637-4BE14671C3DA}" type="CATEGORYNAME">
                      <a:rPr lang="en-US" b="0" cap="none" spc="0">
                        <a:ln w="0"/>
                        <a:solidFill>
                          <a:schemeClr val="tx1"/>
                        </a:solidFill>
                        <a:effectLst>
                          <a:outerShdw blurRad="38100" dist="19050" dir="2700000" algn="tl" rotWithShape="0">
                            <a:schemeClr val="dk1">
                              <a:alpha val="40000"/>
                            </a:schemeClr>
                          </a:outerShdw>
                        </a:effectLst>
                      </a:rPr>
                      <a:pPr>
                        <a:defRPr b="0" cap="none">
                          <a:ln w="0"/>
                          <a:solidFill>
                            <a:schemeClr val="tx1"/>
                          </a:solidFill>
                          <a:effectLst>
                            <a:outerShdw blurRad="38100" dist="19050" dir="2700000" algn="tl" rotWithShape="0">
                              <a:schemeClr val="dk1">
                                <a:alpha val="40000"/>
                              </a:schemeClr>
                            </a:outerShdw>
                          </a:effectLst>
                        </a:defRPr>
                      </a:pPr>
                      <a:t>[NOMBRE DE CATEGORÍA]</a:t>
                    </a:fld>
                    <a:r>
                      <a:rPr lang="en-US" b="0" cap="none" spc="0" baseline="0">
                        <a:ln w="0"/>
                        <a:solidFill>
                          <a:schemeClr val="tx1"/>
                        </a:solidFill>
                        <a:effectLst>
                          <a:outerShdw blurRad="38100" dist="19050" dir="2700000" algn="tl" rotWithShape="0">
                            <a:schemeClr val="dk1">
                              <a:alpha val="40000"/>
                            </a:schemeClr>
                          </a:outerShdw>
                        </a:effectLst>
                      </a:rPr>
                      <a:t>, $157,081.7</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68C-41BA-84C8-2954C0FBB003}"/>
                </c:ext>
              </c:extLst>
            </c:dLbl>
            <c:dLbl>
              <c:idx val="4"/>
              <c:layout>
                <c:manualLayout>
                  <c:x val="-0.15456948089822106"/>
                  <c:y val="-7.0170243682133246E-2"/>
                </c:manualLayout>
              </c:layout>
              <c:tx>
                <c:rich>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fld id="{A99C08A2-5773-4D02-B022-DFB7EDD006C6}" type="CATEGORYNAME">
                      <a:rPr lang="en-US" b="0" cap="none" spc="0">
                        <a:ln w="0"/>
                        <a:solidFill>
                          <a:schemeClr val="tx1"/>
                        </a:solidFill>
                        <a:effectLst>
                          <a:outerShdw blurRad="38100" dist="19050" dir="2700000" algn="tl" rotWithShape="0">
                            <a:schemeClr val="dk1">
                              <a:alpha val="40000"/>
                            </a:schemeClr>
                          </a:outerShdw>
                        </a:effectLst>
                      </a:rPr>
                      <a:pPr>
                        <a:defRPr b="0" cap="none">
                          <a:ln w="0"/>
                          <a:solidFill>
                            <a:schemeClr val="tx1"/>
                          </a:solidFill>
                          <a:effectLst>
                            <a:outerShdw blurRad="38100" dist="19050" dir="2700000" algn="tl" rotWithShape="0">
                              <a:schemeClr val="dk1">
                                <a:alpha val="40000"/>
                              </a:schemeClr>
                            </a:outerShdw>
                          </a:effectLst>
                        </a:defRPr>
                      </a:pPr>
                      <a:t>[NOMBRE DE CATEGORÍA]</a:t>
                    </a:fld>
                    <a:r>
                      <a:rPr lang="en-US" b="0" cap="none" spc="0" baseline="0">
                        <a:ln w="0"/>
                        <a:solidFill>
                          <a:schemeClr val="tx1"/>
                        </a:solidFill>
                        <a:effectLst>
                          <a:outerShdw blurRad="38100" dist="19050" dir="2700000" algn="tl" rotWithShape="0">
                            <a:schemeClr val="dk1">
                              <a:alpha val="40000"/>
                            </a:schemeClr>
                          </a:outerShdw>
                        </a:effectLst>
                      </a:rPr>
                      <a:t>, $16,488.3</a:t>
                    </a:r>
                  </a:p>
                  <a:p>
                    <a:pPr>
                      <a:defRPr b="0" cap="none">
                        <a:ln w="0"/>
                        <a:solidFill>
                          <a:schemeClr val="tx1"/>
                        </a:solidFill>
                        <a:effectLst>
                          <a:outerShdw blurRad="38100" dist="19050" dir="2700000" algn="tl" rotWithShape="0">
                            <a:schemeClr val="dk1">
                              <a:alpha val="40000"/>
                            </a:schemeClr>
                          </a:outerShdw>
                        </a:effectLst>
                      </a:defRPr>
                    </a:pPr>
                    <a:endParaRPr lang="es-MX"/>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68C-41BA-84C8-2954C0FBB003}"/>
                </c:ext>
              </c:extLst>
            </c:dLbl>
            <c:dLbl>
              <c:idx val="5"/>
              <c:layout>
                <c:manualLayout>
                  <c:x val="-1.8095439412355335E-2"/>
                  <c:y val="-0.12182513950462075"/>
                </c:manualLayout>
              </c:layout>
              <c:tx>
                <c:rich>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fld id="{C5CD7173-0759-480D-8141-B280D553C739}" type="CATEGORYNAME">
                      <a:rPr lang="en-US" b="0" cap="none" spc="0">
                        <a:ln w="0"/>
                        <a:solidFill>
                          <a:schemeClr val="tx1"/>
                        </a:solidFill>
                        <a:effectLst>
                          <a:outerShdw blurRad="38100" dist="19050" dir="2700000" algn="tl" rotWithShape="0">
                            <a:schemeClr val="dk1">
                              <a:alpha val="40000"/>
                            </a:schemeClr>
                          </a:outerShdw>
                        </a:effectLst>
                      </a:rPr>
                      <a:pPr>
                        <a:defRPr b="0" cap="none">
                          <a:ln w="0"/>
                          <a:solidFill>
                            <a:schemeClr val="tx1"/>
                          </a:solidFill>
                          <a:effectLst>
                            <a:outerShdw blurRad="38100" dist="19050" dir="2700000" algn="tl" rotWithShape="0">
                              <a:schemeClr val="dk1">
                                <a:alpha val="40000"/>
                              </a:schemeClr>
                            </a:outerShdw>
                          </a:effectLst>
                        </a:defRPr>
                      </a:pPr>
                      <a:t>[NOMBRE DE CATEGORÍA]</a:t>
                    </a:fld>
                    <a:r>
                      <a:rPr lang="en-US" b="0" cap="none" spc="0" baseline="0">
                        <a:ln w="0"/>
                        <a:solidFill>
                          <a:schemeClr val="tx1"/>
                        </a:solidFill>
                        <a:effectLst>
                          <a:outerShdw blurRad="38100" dist="19050" dir="2700000" algn="tl" rotWithShape="0">
                            <a:schemeClr val="dk1">
                              <a:alpha val="40000"/>
                            </a:schemeClr>
                          </a:outerShdw>
                        </a:effectLst>
                      </a:rPr>
                      <a:t> $203,520.5</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768C-41BA-84C8-2954C0FBB003}"/>
                </c:ext>
              </c:extLst>
            </c:dLbl>
            <c:dLbl>
              <c:idx val="6"/>
              <c:layout>
                <c:manualLayout>
                  <c:x val="1.3250189363913404E-3"/>
                  <c:y val="-0.10190165107117123"/>
                </c:manualLayout>
              </c:layout>
              <c:tx>
                <c:rich>
                  <a:bodyPr rot="0" spcFirstLastPara="1" vertOverflow="ellipsis" vert="horz" wrap="square" lIns="38100" tIns="19050" rIns="38100" bIns="19050" anchor="ctr" anchorCtr="1">
                    <a:no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fld id="{EC3D41BD-A750-49F0-ABEB-CEAD15A43F8F}" type="CATEGORYNAME">
                      <a:rPr lang="en-US" b="0" cap="none" spc="0">
                        <a:ln w="0"/>
                        <a:solidFill>
                          <a:schemeClr val="tx1"/>
                        </a:solidFill>
                        <a:effectLst>
                          <a:outerShdw blurRad="38100" dist="19050" dir="2700000" algn="tl" rotWithShape="0">
                            <a:schemeClr val="dk1">
                              <a:alpha val="40000"/>
                            </a:schemeClr>
                          </a:outerShdw>
                        </a:effectLst>
                      </a:rPr>
                      <a:pPr>
                        <a:defRPr b="0" cap="none">
                          <a:ln w="0"/>
                          <a:solidFill>
                            <a:schemeClr val="tx1"/>
                          </a:solidFill>
                          <a:effectLst>
                            <a:outerShdw blurRad="38100" dist="19050" dir="2700000" algn="tl" rotWithShape="0">
                              <a:schemeClr val="dk1">
                                <a:alpha val="40000"/>
                              </a:schemeClr>
                            </a:outerShdw>
                          </a:effectLst>
                        </a:defRPr>
                      </a:pPr>
                      <a:t>[NOMBRE DE CATEGORÍA]</a:t>
                    </a:fld>
                    <a:r>
                      <a:rPr lang="en-US" b="0" cap="none" spc="0" baseline="0">
                        <a:ln w="0"/>
                        <a:solidFill>
                          <a:schemeClr val="tx1"/>
                        </a:solidFill>
                        <a:effectLst>
                          <a:outerShdw blurRad="38100" dist="19050" dir="2700000" algn="tl" rotWithShape="0">
                            <a:schemeClr val="dk1">
                              <a:alpha val="40000"/>
                            </a:schemeClr>
                          </a:outerShdw>
                        </a:effectLst>
                      </a:rPr>
                      <a:t>, $1,630,973.6</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layout>
                    <c:manualLayout>
                      <c:w val="0.13649350878120101"/>
                      <c:h val="0.34841273097375852"/>
                    </c:manualLayout>
                  </c15:layout>
                  <c15:dlblFieldTable/>
                  <c15:showDataLabelsRange val="0"/>
                </c:ext>
                <c:ext xmlns:c16="http://schemas.microsoft.com/office/drawing/2014/chart" uri="{C3380CC4-5D6E-409C-BE32-E72D297353CC}">
                  <c16:uniqueId val="{0000000D-768C-41BA-84C8-2954C0FBB003}"/>
                </c:ext>
              </c:extLst>
            </c:dLbl>
            <c:dLbl>
              <c:idx val="7"/>
              <c:layout>
                <c:manualLayout>
                  <c:x val="4.6204794870439853E-3"/>
                  <c:y val="-6.5869481745643513E-2"/>
                </c:manualLayout>
              </c:layout>
              <c:tx>
                <c:rich>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fld id="{9A2BF1E7-6300-4E84-8690-B3209D716625}" type="CATEGORYNAME">
                      <a:rPr lang="en-US" b="0" cap="none" spc="0">
                        <a:ln w="0"/>
                        <a:solidFill>
                          <a:schemeClr val="tx1"/>
                        </a:solidFill>
                        <a:effectLst>
                          <a:outerShdw blurRad="38100" dist="19050" dir="2700000" algn="tl" rotWithShape="0">
                            <a:schemeClr val="dk1">
                              <a:alpha val="40000"/>
                            </a:schemeClr>
                          </a:outerShdw>
                        </a:effectLst>
                      </a:rPr>
                      <a:pPr>
                        <a:defRPr b="0" cap="none">
                          <a:ln w="0"/>
                          <a:solidFill>
                            <a:schemeClr val="tx1"/>
                          </a:solidFill>
                          <a:effectLst>
                            <a:outerShdw blurRad="38100" dist="19050" dir="2700000" algn="tl" rotWithShape="0">
                              <a:schemeClr val="dk1">
                                <a:alpha val="40000"/>
                              </a:schemeClr>
                            </a:outerShdw>
                          </a:effectLst>
                        </a:defRPr>
                      </a:pPr>
                      <a:t>[NOMBRE DE CATEGORÍA]</a:t>
                    </a:fld>
                    <a:r>
                      <a:rPr lang="en-US" b="0" cap="none" spc="0" baseline="0">
                        <a:ln w="0"/>
                        <a:solidFill>
                          <a:schemeClr val="tx1"/>
                        </a:solidFill>
                        <a:effectLst>
                          <a:outerShdw blurRad="38100" dist="19050" dir="2700000" algn="tl" rotWithShape="0">
                            <a:schemeClr val="dk1">
                              <a:alpha val="40000"/>
                            </a:schemeClr>
                          </a:outerShdw>
                        </a:effectLst>
                      </a:rPr>
                      <a:t>, $232,630.7</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layout>
                    <c:manualLayout>
                      <c:w val="0.1690716764431292"/>
                      <c:h val="0.23629937039433196"/>
                    </c:manualLayout>
                  </c15:layout>
                  <c15:dlblFieldTable/>
                  <c15:showDataLabelsRange val="0"/>
                </c:ext>
                <c:ext xmlns:c16="http://schemas.microsoft.com/office/drawing/2014/chart" uri="{C3380CC4-5D6E-409C-BE32-E72D297353CC}">
                  <c16:uniqueId val="{0000000F-768C-41BA-84C8-2954C0FBB003}"/>
                </c:ext>
              </c:extLst>
            </c:dLbl>
            <c:dLbl>
              <c:idx val="8"/>
              <c:layout>
                <c:manualLayout>
                  <c:x val="0.15286961193609189"/>
                  <c:y val="5.888943240812349E-4"/>
                </c:manualLayout>
              </c:layout>
              <c:tx>
                <c:rich>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fld id="{573D7FEE-5B4E-403D-B024-54CF9AB64888}" type="CATEGORYNAME">
                      <a:rPr lang="en-US" b="0" cap="none" spc="0">
                        <a:ln w="0"/>
                        <a:solidFill>
                          <a:schemeClr val="tx1"/>
                        </a:solidFill>
                        <a:effectLst>
                          <a:outerShdw blurRad="38100" dist="19050" dir="2700000" algn="tl" rotWithShape="0">
                            <a:schemeClr val="dk1">
                              <a:alpha val="40000"/>
                            </a:schemeClr>
                          </a:outerShdw>
                        </a:effectLst>
                      </a:rPr>
                      <a:pPr>
                        <a:defRPr b="0" cap="none">
                          <a:ln w="0"/>
                          <a:solidFill>
                            <a:schemeClr val="tx1"/>
                          </a:solidFill>
                          <a:effectLst>
                            <a:outerShdw blurRad="38100" dist="19050" dir="2700000" algn="tl" rotWithShape="0">
                              <a:schemeClr val="dk1">
                                <a:alpha val="40000"/>
                              </a:schemeClr>
                            </a:outerShdw>
                          </a:effectLst>
                        </a:defRPr>
                      </a:pPr>
                      <a:t>[NOMBRE DE CATEGORÍA]</a:t>
                    </a:fld>
                    <a:r>
                      <a:rPr lang="en-US" b="0" cap="none" spc="0" baseline="0">
                        <a:ln w="0"/>
                        <a:solidFill>
                          <a:schemeClr val="tx1"/>
                        </a:solidFill>
                        <a:effectLst>
                          <a:outerShdw blurRad="38100" dist="19050" dir="2700000" algn="tl" rotWithShape="0">
                            <a:schemeClr val="dk1">
                              <a:alpha val="40000"/>
                            </a:schemeClr>
                          </a:outerShdw>
                        </a:effectLst>
                      </a:rPr>
                      <a:t>, $1,472,626.4</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layout>
                    <c:manualLayout>
                      <c:w val="0.30322147651006709"/>
                      <c:h val="0.10585180860408482"/>
                    </c:manualLayout>
                  </c15:layout>
                  <c15:dlblFieldTable/>
                  <c15:showDataLabelsRange val="0"/>
                </c:ext>
                <c:ext xmlns:c16="http://schemas.microsoft.com/office/drawing/2014/chart" uri="{C3380CC4-5D6E-409C-BE32-E72D297353CC}">
                  <c16:uniqueId val="{00000011-768C-41BA-84C8-2954C0FBB00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MX"/>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Hoja1!$A$2:$A$10</c:f>
              <c:strCache>
                <c:ptCount val="9"/>
                <c:pt idx="0">
                  <c:v>Impuestos</c:v>
                </c:pt>
                <c:pt idx="1">
                  <c:v>Cuotas y Aportaciones de Seguridad Social</c:v>
                </c:pt>
                <c:pt idx="2">
                  <c:v>Contribuciones de Mejoras</c:v>
                </c:pt>
                <c:pt idx="3">
                  <c:v>Derechos</c:v>
                </c:pt>
                <c:pt idx="4">
                  <c:v>Productos</c:v>
                </c:pt>
                <c:pt idx="5">
                  <c:v>Aprovechamientos</c:v>
                </c:pt>
                <c:pt idx="6">
                  <c:v>Ingresos por Ventas de Bienes, Prestacion de Servicios y Otros Ingresos</c:v>
                </c:pt>
                <c:pt idx="7">
                  <c:v>Transferencias, Asignaciones, Subsidios y Subvenciones y Pensiones y Jubilaciones</c:v>
                </c:pt>
                <c:pt idx="8">
                  <c:v>Ingresos Derivados de Financiamientos</c:v>
                </c:pt>
              </c:strCache>
            </c:strRef>
          </c:cat>
          <c:val>
            <c:numRef>
              <c:f>Hoja1!$B$2:$B$10</c:f>
              <c:numCache>
                <c:formatCode>#,##0.00</c:formatCode>
                <c:ptCount val="9"/>
                <c:pt idx="0">
                  <c:v>5838541.0999999996</c:v>
                </c:pt>
                <c:pt idx="1">
                  <c:v>641782.1</c:v>
                </c:pt>
                <c:pt idx="2" formatCode="&quot;$&quot;#,##0.00_);[Red]\(&quot;$&quot;#,##0.00\)">
                  <c:v>39.6</c:v>
                </c:pt>
                <c:pt idx="3">
                  <c:v>157081.70000000001</c:v>
                </c:pt>
                <c:pt idx="4" formatCode="&quot;$&quot;#,##0.00_);[Red]\(&quot;$&quot;#,##0.00\)">
                  <c:v>16488.3</c:v>
                </c:pt>
                <c:pt idx="5" formatCode="&quot;$&quot;#,##0_);[Red]\(&quot;$&quot;#,##0\)">
                  <c:v>203520.5</c:v>
                </c:pt>
                <c:pt idx="6" formatCode="&quot;$&quot;#,##0.00_);[Red]\(&quot;$&quot;#,##0.00\)">
                  <c:v>1630973.6</c:v>
                </c:pt>
                <c:pt idx="7" formatCode="&quot;$&quot;#,##0.00_);[Red]\(&quot;$&quot;#,##0.00\)">
                  <c:v>232630.39999999999</c:v>
                </c:pt>
                <c:pt idx="8" formatCode="&quot;$&quot;#,##0.00_);[Red]\(&quot;$&quot;#,##0.00\)">
                  <c:v>1472626.4</c:v>
                </c:pt>
              </c:numCache>
            </c:numRef>
          </c:val>
          <c:extLst>
            <c:ext xmlns:c16="http://schemas.microsoft.com/office/drawing/2014/chart" uri="{C3380CC4-5D6E-409C-BE32-E72D297353CC}">
              <c16:uniqueId val="{00000012-768C-41BA-84C8-2954C0FBB003}"/>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Ventas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4C-421F-9E15-3BA62C72BF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4C-421F-9E15-3BA62C72BF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04C-421F-9E15-3BA62C72BFD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04C-421F-9E15-3BA62C72BFD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983-4DDD-B925-569584DC05F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983-4DDD-B925-569584DC05F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983-4DDD-B925-569584DC05FC}"/>
              </c:ext>
            </c:extLst>
          </c:dPt>
          <c:dLbls>
            <c:dLbl>
              <c:idx val="0"/>
              <c:layout>
                <c:manualLayout>
                  <c:x val="6.8190434529017208E-3"/>
                  <c:y val="0.1727837145356829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4C-421F-9E15-3BA62C72BFD0}"/>
                </c:ext>
              </c:extLst>
            </c:dLbl>
            <c:dLbl>
              <c:idx val="1"/>
              <c:layout>
                <c:manualLayout>
                  <c:x val="-1.7370953630796149E-2"/>
                  <c:y val="7.726565429321327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4C-421F-9E15-3BA62C72BFD0}"/>
                </c:ext>
              </c:extLst>
            </c:dLbl>
            <c:dLbl>
              <c:idx val="2"/>
              <c:layout>
                <c:manualLayout>
                  <c:x val="-0.1373177311169437"/>
                  <c:y val="1.190476190476190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04C-421F-9E15-3BA62C72BFD0}"/>
                </c:ext>
              </c:extLst>
            </c:dLbl>
            <c:dLbl>
              <c:idx val="3"/>
              <c:layout>
                <c:manualLayout>
                  <c:x val="0.24768518518518517"/>
                  <c:y val="0"/>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layout>
                    <c:manualLayout>
                      <c:w val="0.19675925925925927"/>
                      <c:h val="0.12996031746031747"/>
                    </c:manualLayout>
                  </c15:layout>
                </c:ext>
                <c:ext xmlns:c16="http://schemas.microsoft.com/office/drawing/2014/chart" uri="{C3380CC4-5D6E-409C-BE32-E72D297353CC}">
                  <c16:uniqueId val="{00000007-C04C-421F-9E15-3BA62C72BF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Hoja1!$A$2:$A$8</c:f>
              <c:strCache>
                <c:ptCount val="5"/>
                <c:pt idx="0">
                  <c:v>Participaciones Federales</c:v>
                </c:pt>
                <c:pt idx="1">
                  <c:v>Aportaciones Federales</c:v>
                </c:pt>
                <c:pt idx="2">
                  <c:v>Convenios</c:v>
                </c:pt>
                <c:pt idx="3">
                  <c:v>Subsidios (Ramo 23)</c:v>
                </c:pt>
                <c:pt idx="4">
                  <c:v>Salud</c:v>
                </c:pt>
              </c:strCache>
            </c:strRef>
          </c:cat>
          <c:val>
            <c:numRef>
              <c:f>Hoja1!$B$2:$B$8</c:f>
              <c:numCache>
                <c:formatCode>"$"#,##0.00_);[Red]\("$"#,##0.00\)</c:formatCode>
                <c:ptCount val="7"/>
                <c:pt idx="0">
                  <c:v>1456045.9</c:v>
                </c:pt>
                <c:pt idx="1">
                  <c:v>1127075.3</c:v>
                </c:pt>
                <c:pt idx="2">
                  <c:v>133376.70000000001</c:v>
                </c:pt>
                <c:pt idx="3">
                  <c:v>13510.7</c:v>
                </c:pt>
                <c:pt idx="4">
                  <c:v>80768.399999999994</c:v>
                </c:pt>
              </c:numCache>
            </c:numRef>
          </c:val>
          <c:extLst>
            <c:ext xmlns:c16="http://schemas.microsoft.com/office/drawing/2014/chart" uri="{C3380CC4-5D6E-409C-BE32-E72D297353CC}">
              <c16:uniqueId val="{00000008-C04C-421F-9E15-3BA62C72BFD0}"/>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19</Pages>
  <Words>4240</Words>
  <Characters>23320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Gamaliel Flores López</dc:creator>
  <cp:keywords/>
  <dc:description/>
  <cp:lastModifiedBy>Claudia Gloria Bello</cp:lastModifiedBy>
  <cp:revision>6</cp:revision>
  <cp:lastPrinted>2026-02-10T17:55:00Z</cp:lastPrinted>
  <dcterms:created xsi:type="dcterms:W3CDTF">2026-01-28T18:07:00Z</dcterms:created>
  <dcterms:modified xsi:type="dcterms:W3CDTF">2026-02-10T17:56:00Z</dcterms:modified>
</cp:coreProperties>
</file>